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3871" w14:textId="7A8ABD62" w:rsidR="002F7B6A" w:rsidRPr="005E4870" w:rsidRDefault="003E5612" w:rsidP="005E4870">
      <w:pPr>
        <w:jc w:val="center"/>
        <w:rPr>
          <w:sz w:val="40"/>
          <w:szCs w:val="40"/>
        </w:rPr>
      </w:pPr>
      <w:r w:rsidRPr="005E4870">
        <w:rPr>
          <w:sz w:val="40"/>
          <w:szCs w:val="40"/>
        </w:rPr>
        <w:t>Protected Disclosures</w:t>
      </w:r>
      <w:r w:rsidR="00074384">
        <w:rPr>
          <w:sz w:val="40"/>
          <w:szCs w:val="40"/>
        </w:rPr>
        <w:t>/Whistleblowing</w:t>
      </w:r>
      <w:r w:rsidR="002F7B6A" w:rsidRPr="005E4870">
        <w:rPr>
          <w:sz w:val="40"/>
          <w:szCs w:val="40"/>
        </w:rPr>
        <w:t xml:space="preserve"> Policy</w:t>
      </w:r>
    </w:p>
    <w:p w14:paraId="02A92850" w14:textId="02189BDB" w:rsidR="00924C08" w:rsidRPr="00E0354F" w:rsidRDefault="00924C08" w:rsidP="005E4870">
      <w:pPr>
        <w:pStyle w:val="NoSpacing"/>
        <w:rPr>
          <w:rFonts w:cstheme="minorHAnsi"/>
          <w:b/>
        </w:rPr>
      </w:pPr>
      <w:bookmarkStart w:id="0" w:name="_Hlk195609019"/>
      <w:r w:rsidRPr="00E0354F">
        <w:rPr>
          <w:rFonts w:cstheme="minorHAnsi"/>
          <w:b/>
        </w:rPr>
        <w:t>Introduction</w:t>
      </w:r>
      <w:r w:rsidR="005143C0" w:rsidRPr="00E0354F">
        <w:rPr>
          <w:rFonts w:cstheme="minorHAnsi"/>
          <w:b/>
        </w:rPr>
        <w:t>:</w:t>
      </w:r>
    </w:p>
    <w:p w14:paraId="2E7C2FB3" w14:textId="77777777" w:rsidR="003E5612" w:rsidRPr="00E0354F" w:rsidRDefault="003E5612" w:rsidP="005E4870">
      <w:pPr>
        <w:pStyle w:val="NoSpacing"/>
        <w:rPr>
          <w:rFonts w:cstheme="minorHAnsi"/>
          <w:b/>
        </w:rPr>
      </w:pPr>
    </w:p>
    <w:p w14:paraId="6D3EA711" w14:textId="4C6C147D" w:rsidR="00D71A61" w:rsidRPr="00E0354F" w:rsidRDefault="005E4870" w:rsidP="005E4870">
      <w:pPr>
        <w:pStyle w:val="NoSpacing"/>
        <w:rPr>
          <w:rFonts w:cstheme="minorHAnsi"/>
        </w:rPr>
      </w:pPr>
      <w:r w:rsidRPr="00E0354F">
        <w:rPr>
          <w:rFonts w:cstheme="minorHAnsi"/>
        </w:rPr>
        <w:t>COMPANY</w:t>
      </w:r>
      <w:r w:rsidR="003E5612" w:rsidRPr="00E0354F">
        <w:rPr>
          <w:rFonts w:cstheme="minorHAnsi"/>
        </w:rPr>
        <w:t xml:space="preserve"> is committed to maintaining an open culture and ensuring the highest levels of honesty, openness and accountability are observed in all our practices.  The purp</w:t>
      </w:r>
      <w:r w:rsidR="00887087" w:rsidRPr="00E0354F">
        <w:rPr>
          <w:rFonts w:cstheme="minorHAnsi"/>
        </w:rPr>
        <w:t xml:space="preserve">ose of this policy is to encourage and enable </w:t>
      </w:r>
      <w:r w:rsidR="00DE164A" w:rsidRPr="00E0354F">
        <w:rPr>
          <w:rFonts w:cstheme="minorHAnsi"/>
        </w:rPr>
        <w:t>employee</w:t>
      </w:r>
      <w:r w:rsidR="00887087" w:rsidRPr="00E0354F">
        <w:rPr>
          <w:rFonts w:cstheme="minorHAnsi"/>
        </w:rPr>
        <w:t>s to raise genuine concerns or disclose information related to potential wrongdoing within the workplace without fear of penalisation, or threat of less favourable treatment, discrimination or disadvantage.</w:t>
      </w:r>
    </w:p>
    <w:p w14:paraId="179C1B22" w14:textId="77777777" w:rsidR="00887087" w:rsidRPr="00E0354F" w:rsidRDefault="00887087" w:rsidP="005E4870">
      <w:pPr>
        <w:pStyle w:val="NoSpacing"/>
        <w:rPr>
          <w:rFonts w:cstheme="minorHAnsi"/>
        </w:rPr>
      </w:pPr>
    </w:p>
    <w:p w14:paraId="5AC9A6D1" w14:textId="77777777" w:rsidR="00D71A61" w:rsidRPr="00E0354F" w:rsidRDefault="00D71A61" w:rsidP="005E4870">
      <w:pPr>
        <w:pStyle w:val="NoSpacing"/>
        <w:rPr>
          <w:rFonts w:cstheme="minorHAnsi"/>
          <w:b/>
        </w:rPr>
      </w:pPr>
      <w:r w:rsidRPr="00E0354F">
        <w:rPr>
          <w:rFonts w:cstheme="minorHAnsi"/>
          <w:b/>
        </w:rPr>
        <w:t>Policy Scope:</w:t>
      </w:r>
    </w:p>
    <w:p w14:paraId="05117400" w14:textId="77777777" w:rsidR="00887087" w:rsidRPr="00E0354F" w:rsidRDefault="00887087" w:rsidP="005E4870">
      <w:pPr>
        <w:pStyle w:val="NoSpacing"/>
        <w:rPr>
          <w:rFonts w:cstheme="minorHAnsi"/>
          <w:b/>
        </w:rPr>
      </w:pPr>
    </w:p>
    <w:p w14:paraId="2B8BA973" w14:textId="5FDCA06F" w:rsidR="00074384" w:rsidRPr="00E0354F" w:rsidRDefault="00887087" w:rsidP="00827DB9">
      <w:pPr>
        <w:jc w:val="both"/>
        <w:rPr>
          <w:rFonts w:cstheme="minorHAnsi"/>
        </w:rPr>
      </w:pPr>
      <w:r w:rsidRPr="00E0354F">
        <w:rPr>
          <w:rFonts w:cstheme="minorHAnsi"/>
        </w:rPr>
        <w:t xml:space="preserve">This policy applies to </w:t>
      </w:r>
      <w:r w:rsidR="00827DB9" w:rsidRPr="00E0354F">
        <w:rPr>
          <w:rFonts w:cstheme="minorHAnsi"/>
        </w:rPr>
        <w:t xml:space="preserve">our </w:t>
      </w:r>
      <w:r w:rsidRPr="00E0354F">
        <w:rPr>
          <w:rFonts w:cstheme="minorHAnsi"/>
        </w:rPr>
        <w:t xml:space="preserve">employees at all levels, </w:t>
      </w:r>
      <w:r w:rsidR="00827DB9" w:rsidRPr="00E0354F">
        <w:rPr>
          <w:rFonts w:cstheme="minorHAnsi"/>
        </w:rPr>
        <w:t xml:space="preserve">including former employees, </w:t>
      </w:r>
      <w:r w:rsidR="00795753" w:rsidRPr="00E0354F">
        <w:rPr>
          <w:rFonts w:cstheme="minorHAnsi"/>
        </w:rPr>
        <w:t xml:space="preserve">temporary employees, </w:t>
      </w:r>
      <w:r w:rsidR="00827DB9" w:rsidRPr="00E0354F">
        <w:rPr>
          <w:rFonts w:cstheme="minorHAnsi"/>
        </w:rPr>
        <w:t xml:space="preserve">trainees, apprentices , </w:t>
      </w:r>
      <w:r w:rsidRPr="00E0354F">
        <w:rPr>
          <w:rFonts w:cstheme="minorHAnsi"/>
        </w:rPr>
        <w:t xml:space="preserve">volunteers, agency </w:t>
      </w:r>
      <w:r w:rsidR="00DE164A" w:rsidRPr="00E0354F">
        <w:rPr>
          <w:rFonts w:cstheme="minorHAnsi"/>
        </w:rPr>
        <w:t>employee</w:t>
      </w:r>
      <w:r w:rsidRPr="00E0354F">
        <w:rPr>
          <w:rFonts w:cstheme="minorHAnsi"/>
        </w:rPr>
        <w:t>s, contractors, interns and those on work experience.</w:t>
      </w:r>
      <w:r w:rsidR="00827DB9" w:rsidRPr="00E0354F">
        <w:rPr>
          <w:rFonts w:cstheme="minorHAnsi"/>
        </w:rPr>
        <w:t xml:space="preserve"> It also includes board members, shareholders, job applicants and volunteers.</w:t>
      </w:r>
    </w:p>
    <w:p w14:paraId="3981022F" w14:textId="0295ABED" w:rsidR="009C5B94" w:rsidRPr="00E0354F" w:rsidRDefault="00074384" w:rsidP="00074384">
      <w:pPr>
        <w:jc w:val="both"/>
        <w:rPr>
          <w:rFonts w:cstheme="minorHAnsi"/>
        </w:rPr>
      </w:pPr>
      <w:r w:rsidRPr="00E0354F">
        <w:rPr>
          <w:rFonts w:cstheme="minorHAnsi"/>
        </w:rPr>
        <w:t xml:space="preserve">This Policy details how employees and other </w:t>
      </w:r>
      <w:r w:rsidR="00DE164A" w:rsidRPr="00E0354F">
        <w:rPr>
          <w:rFonts w:cstheme="minorHAnsi"/>
        </w:rPr>
        <w:t>employee</w:t>
      </w:r>
      <w:r w:rsidRPr="00E0354F">
        <w:rPr>
          <w:rFonts w:cstheme="minorHAnsi"/>
        </w:rPr>
        <w:t xml:space="preserve">s including former employees, board members, shareholders, contractors, job applicants, individuals involved in pre-contract negotiations, trainees, volunteers and third parties such as agency </w:t>
      </w:r>
      <w:r w:rsidR="00DE164A" w:rsidRPr="00E0354F">
        <w:rPr>
          <w:rFonts w:cstheme="minorHAnsi"/>
        </w:rPr>
        <w:t>employee</w:t>
      </w:r>
      <w:r w:rsidRPr="00E0354F">
        <w:rPr>
          <w:rFonts w:cstheme="minorHAnsi"/>
        </w:rPr>
        <w:t>s and independent contractors should report confidential disclosures of relevant information and how these disclosures will be dealt with.</w:t>
      </w:r>
    </w:p>
    <w:p w14:paraId="5665CD62" w14:textId="4164C220" w:rsidR="00074384" w:rsidRPr="00E0354F" w:rsidRDefault="00074384" w:rsidP="00074384">
      <w:pPr>
        <w:jc w:val="both"/>
        <w:rPr>
          <w:rFonts w:cstheme="minorHAnsi"/>
        </w:rPr>
      </w:pPr>
      <w:r w:rsidRPr="00E0354F">
        <w:rPr>
          <w:rFonts w:cstheme="minorHAnsi"/>
        </w:rPr>
        <w:t xml:space="preserve">The purpose of this policy is to outline a mechanism for employees and other </w:t>
      </w:r>
      <w:r w:rsidR="00DE164A" w:rsidRPr="00E0354F">
        <w:rPr>
          <w:rFonts w:cstheme="minorHAnsi"/>
        </w:rPr>
        <w:t>employee</w:t>
      </w:r>
      <w:r w:rsidRPr="00E0354F">
        <w:rPr>
          <w:rFonts w:cstheme="minorHAnsi"/>
        </w:rPr>
        <w:t xml:space="preserve">s to raise serious concerns about relevant wrongdoings internally, so that problems can be identified and resolved in a timely manner. </w:t>
      </w:r>
    </w:p>
    <w:p w14:paraId="69BEC94D" w14:textId="79E28C9B" w:rsidR="00766796" w:rsidRPr="00E0354F" w:rsidRDefault="00766796" w:rsidP="00074384">
      <w:pPr>
        <w:jc w:val="both"/>
        <w:rPr>
          <w:rFonts w:cstheme="minorHAnsi"/>
        </w:rPr>
      </w:pPr>
      <w:r w:rsidRPr="00E0354F">
        <w:rPr>
          <w:rFonts w:cstheme="minorHAnsi"/>
        </w:rPr>
        <w:t xml:space="preserve">This policy will be subject to regular monitoring and reviewed and communicated as appropriate. </w:t>
      </w:r>
      <w:r w:rsidR="00BA5BC7" w:rsidRPr="00E0354F">
        <w:rPr>
          <w:rFonts w:cstheme="minorHAnsi"/>
        </w:rPr>
        <w:t xml:space="preserve">Employees will </w:t>
      </w:r>
      <w:r w:rsidR="008E5D59" w:rsidRPr="00E0354F">
        <w:rPr>
          <w:rFonts w:cstheme="minorHAnsi"/>
        </w:rPr>
        <w:t>receive</w:t>
      </w:r>
      <w:r w:rsidR="00BA5BC7" w:rsidRPr="00E0354F">
        <w:rPr>
          <w:rFonts w:cstheme="minorHAnsi"/>
        </w:rPr>
        <w:t xml:space="preserve"> sufficient </w:t>
      </w:r>
      <w:r w:rsidR="008E5D59" w:rsidRPr="00E0354F">
        <w:rPr>
          <w:rFonts w:cstheme="minorHAnsi"/>
        </w:rPr>
        <w:t xml:space="preserve">training and refresher training </w:t>
      </w:r>
      <w:r w:rsidR="00BA5BC7" w:rsidRPr="00E0354F">
        <w:rPr>
          <w:rFonts w:cstheme="minorHAnsi"/>
        </w:rPr>
        <w:t>to deal with the requirements of this polic</w:t>
      </w:r>
      <w:r w:rsidR="008E5D59" w:rsidRPr="00E0354F">
        <w:rPr>
          <w:rFonts w:cstheme="minorHAnsi"/>
        </w:rPr>
        <w:t>y.</w:t>
      </w:r>
    </w:p>
    <w:p w14:paraId="67826BA0" w14:textId="051FD5FD" w:rsidR="00217966" w:rsidRPr="00E0354F" w:rsidRDefault="00217966" w:rsidP="00217966">
      <w:pPr>
        <w:jc w:val="both"/>
        <w:rPr>
          <w:rFonts w:cstheme="minorHAnsi"/>
          <w:b/>
          <w:bCs/>
        </w:rPr>
      </w:pPr>
      <w:r w:rsidRPr="00E0354F">
        <w:rPr>
          <w:rFonts w:cstheme="minorHAnsi"/>
          <w:b/>
          <w:bCs/>
        </w:rPr>
        <w:t xml:space="preserve">Details </w:t>
      </w:r>
      <w:r w:rsidR="0017732C" w:rsidRPr="00E0354F">
        <w:rPr>
          <w:rFonts w:cstheme="minorHAnsi"/>
          <w:b/>
          <w:bCs/>
        </w:rPr>
        <w:t xml:space="preserve">of the Act </w:t>
      </w:r>
      <w:r w:rsidR="005143C0" w:rsidRPr="00E0354F">
        <w:rPr>
          <w:rFonts w:cstheme="minorHAnsi"/>
          <w:b/>
          <w:bCs/>
        </w:rPr>
        <w:t>:</w:t>
      </w:r>
    </w:p>
    <w:p w14:paraId="38A369BD" w14:textId="096CFD9F" w:rsidR="00217966" w:rsidRPr="00E0354F" w:rsidRDefault="00B519A0" w:rsidP="00217966">
      <w:pPr>
        <w:jc w:val="both"/>
        <w:rPr>
          <w:rFonts w:cstheme="minorHAnsi"/>
        </w:rPr>
      </w:pPr>
      <w:r w:rsidRPr="00E0354F">
        <w:rPr>
          <w:rFonts w:cstheme="minorHAnsi"/>
        </w:rPr>
        <w:t xml:space="preserve">The Protected Disclosures Act 2014 as amended by the Protected Disclosures (Amendment) Act 2022, provides a statutory framework for the protection of </w:t>
      </w:r>
      <w:r w:rsidR="00DE164A" w:rsidRPr="00E0354F">
        <w:rPr>
          <w:rFonts w:cstheme="minorHAnsi"/>
        </w:rPr>
        <w:t>employee</w:t>
      </w:r>
      <w:r w:rsidRPr="00E0354F">
        <w:rPr>
          <w:rFonts w:cstheme="minorHAnsi"/>
        </w:rPr>
        <w:t>s who raise concerns about relevant wrongdoing in their workplace from dismissal, penalisation or other sanctions by their employers. Making a protected disclosure is also known as “whistleblowing”.</w:t>
      </w:r>
    </w:p>
    <w:p w14:paraId="462AEED0" w14:textId="2134F6D6" w:rsidR="00074384" w:rsidRPr="00E0354F" w:rsidRDefault="00074384" w:rsidP="00074384">
      <w:pPr>
        <w:jc w:val="both"/>
        <w:rPr>
          <w:rFonts w:cstheme="minorHAnsi"/>
          <w:b/>
          <w:bCs/>
        </w:rPr>
      </w:pPr>
      <w:r w:rsidRPr="00E0354F">
        <w:rPr>
          <w:rFonts w:cstheme="minorHAnsi"/>
          <w:b/>
          <w:bCs/>
        </w:rPr>
        <w:t xml:space="preserve">What is </w:t>
      </w:r>
      <w:r w:rsidR="00A648C7" w:rsidRPr="00E0354F">
        <w:rPr>
          <w:rFonts w:cstheme="minorHAnsi"/>
          <w:b/>
          <w:bCs/>
        </w:rPr>
        <w:t>a Protected Disclosure</w:t>
      </w:r>
      <w:r w:rsidRPr="00E0354F">
        <w:rPr>
          <w:rFonts w:cstheme="minorHAnsi"/>
          <w:b/>
          <w:bCs/>
        </w:rPr>
        <w:t xml:space="preserve">? </w:t>
      </w:r>
    </w:p>
    <w:p w14:paraId="47B5CC4D" w14:textId="78814E49" w:rsidR="00CD5D24" w:rsidRPr="00E0354F" w:rsidRDefault="0038201B" w:rsidP="00074384">
      <w:pPr>
        <w:jc w:val="both"/>
        <w:rPr>
          <w:rFonts w:cstheme="minorHAnsi"/>
        </w:rPr>
      </w:pPr>
      <w:r w:rsidRPr="00E0354F">
        <w:rPr>
          <w:rFonts w:cstheme="minorHAnsi"/>
        </w:rPr>
        <w:t xml:space="preserve">A protected disclosure is a disclosure of information by </w:t>
      </w:r>
      <w:proofErr w:type="spellStart"/>
      <w:r w:rsidRPr="00E0354F">
        <w:rPr>
          <w:rFonts w:cstheme="minorHAnsi"/>
        </w:rPr>
        <w:t>a</w:t>
      </w:r>
      <w:proofErr w:type="spellEnd"/>
      <w:r w:rsidRPr="00E0354F">
        <w:rPr>
          <w:rFonts w:cstheme="minorHAnsi"/>
        </w:rPr>
        <w:t xml:space="preserve"> </w:t>
      </w:r>
      <w:r w:rsidR="00DE164A" w:rsidRPr="00E0354F">
        <w:rPr>
          <w:rFonts w:cstheme="minorHAnsi"/>
        </w:rPr>
        <w:t>employee</w:t>
      </w:r>
      <w:r w:rsidRPr="00E0354F">
        <w:rPr>
          <w:rFonts w:cstheme="minorHAnsi"/>
        </w:rPr>
        <w:t xml:space="preserve">, which in their reasonable belief, tends to show one or more relevant wrongdoings, which came to the </w:t>
      </w:r>
      <w:r w:rsidR="00DE164A" w:rsidRPr="00E0354F">
        <w:rPr>
          <w:rFonts w:cstheme="minorHAnsi"/>
        </w:rPr>
        <w:t>employee</w:t>
      </w:r>
      <w:r w:rsidRPr="00E0354F">
        <w:rPr>
          <w:rFonts w:cstheme="minorHAnsi"/>
        </w:rPr>
        <w:t>’s attention in a work-related context and is disclosed in the manner outlined in the Act as amended.</w:t>
      </w:r>
      <w:r w:rsidR="00074384" w:rsidRPr="00E0354F">
        <w:rPr>
          <w:rFonts w:cstheme="minorHAnsi"/>
        </w:rPr>
        <w:t xml:space="preserve"> </w:t>
      </w:r>
    </w:p>
    <w:p w14:paraId="7BE37038" w14:textId="77777777" w:rsidR="00827DB9" w:rsidRPr="00E0354F" w:rsidRDefault="00827DB9" w:rsidP="00827DB9">
      <w:pPr>
        <w:pStyle w:val="NoSpacing"/>
        <w:rPr>
          <w:rFonts w:cstheme="minorHAnsi"/>
          <w:lang w:val="en-US"/>
        </w:rPr>
      </w:pPr>
      <w:r w:rsidRPr="00E0354F">
        <w:rPr>
          <w:rFonts w:cstheme="minorHAnsi"/>
          <w:lang w:val="en-US"/>
        </w:rPr>
        <w:t>Actions that constitute relevant wrongdoings under the Act include:</w:t>
      </w:r>
    </w:p>
    <w:p w14:paraId="02D5FC18" w14:textId="77777777" w:rsidR="00827DB9" w:rsidRPr="00E0354F" w:rsidRDefault="00827DB9" w:rsidP="00827DB9">
      <w:pPr>
        <w:pStyle w:val="NoSpacing"/>
        <w:rPr>
          <w:rFonts w:cstheme="minorHAnsi"/>
          <w:lang w:val="en-US"/>
        </w:rPr>
      </w:pPr>
    </w:p>
    <w:p w14:paraId="5F5501AA" w14:textId="77777777" w:rsidR="00827DB9" w:rsidRPr="00E0354F" w:rsidRDefault="00827DB9" w:rsidP="00827DB9">
      <w:pPr>
        <w:pStyle w:val="NoSpacing"/>
        <w:numPr>
          <w:ilvl w:val="0"/>
          <w:numId w:val="10"/>
        </w:numPr>
        <w:rPr>
          <w:rFonts w:cstheme="minorHAnsi"/>
          <w:lang w:val="en-US"/>
        </w:rPr>
      </w:pPr>
      <w:r w:rsidRPr="00E0354F">
        <w:rPr>
          <w:rFonts w:cstheme="minorHAnsi"/>
          <w:lang w:val="en-US"/>
        </w:rPr>
        <w:t>criminal offences;</w:t>
      </w:r>
    </w:p>
    <w:p w14:paraId="5B2DB132" w14:textId="43441F3C" w:rsidR="00827DB9" w:rsidRPr="00E0354F" w:rsidRDefault="00827DB9" w:rsidP="00827DB9">
      <w:pPr>
        <w:pStyle w:val="NoSpacing"/>
        <w:numPr>
          <w:ilvl w:val="0"/>
          <w:numId w:val="10"/>
        </w:numPr>
        <w:rPr>
          <w:rFonts w:cstheme="minorHAnsi"/>
          <w:lang w:val="en-US"/>
        </w:rPr>
      </w:pPr>
      <w:r w:rsidRPr="00E0354F">
        <w:rPr>
          <w:rFonts w:cstheme="minorHAnsi"/>
          <w:lang w:val="en-US"/>
        </w:rPr>
        <w:t xml:space="preserve">failure to comply with any legal obligation (other than one arising out of </w:t>
      </w:r>
      <w:proofErr w:type="spellStart"/>
      <w:r w:rsidRPr="00E0354F">
        <w:rPr>
          <w:rFonts w:cstheme="minorHAnsi"/>
          <w:lang w:val="en-US"/>
        </w:rPr>
        <w:t>a</w:t>
      </w:r>
      <w:proofErr w:type="spellEnd"/>
      <w:r w:rsidRPr="00E0354F">
        <w:rPr>
          <w:rFonts w:cstheme="minorHAnsi"/>
          <w:lang w:val="en-US"/>
        </w:rPr>
        <w:t xml:space="preserve"> </w:t>
      </w:r>
      <w:r w:rsidR="00DE164A" w:rsidRPr="00E0354F">
        <w:rPr>
          <w:rFonts w:cstheme="minorHAnsi"/>
          <w:lang w:val="en-US"/>
        </w:rPr>
        <w:t>employee</w:t>
      </w:r>
      <w:r w:rsidRPr="00E0354F">
        <w:rPr>
          <w:rFonts w:cstheme="minorHAnsi"/>
          <w:lang w:val="en-US"/>
        </w:rPr>
        <w:t>’s contract of employment or contract for services);</w:t>
      </w:r>
    </w:p>
    <w:p w14:paraId="02F3AE39" w14:textId="77777777" w:rsidR="00827DB9" w:rsidRPr="00E0354F" w:rsidRDefault="00827DB9" w:rsidP="00827DB9">
      <w:pPr>
        <w:pStyle w:val="NoSpacing"/>
        <w:numPr>
          <w:ilvl w:val="0"/>
          <w:numId w:val="10"/>
        </w:numPr>
        <w:rPr>
          <w:rFonts w:cstheme="minorHAnsi"/>
          <w:lang w:val="en-US"/>
        </w:rPr>
      </w:pPr>
      <w:r w:rsidRPr="00E0354F">
        <w:rPr>
          <w:rFonts w:cstheme="minorHAnsi"/>
          <w:lang w:val="en-US"/>
        </w:rPr>
        <w:t>a miscarriage of justice;</w:t>
      </w:r>
    </w:p>
    <w:p w14:paraId="596F7920" w14:textId="77777777" w:rsidR="00827DB9" w:rsidRPr="00E0354F" w:rsidRDefault="00827DB9" w:rsidP="00827DB9">
      <w:pPr>
        <w:pStyle w:val="NoSpacing"/>
        <w:numPr>
          <w:ilvl w:val="0"/>
          <w:numId w:val="10"/>
        </w:numPr>
        <w:rPr>
          <w:rFonts w:cstheme="minorHAnsi"/>
          <w:lang w:val="en-US"/>
        </w:rPr>
      </w:pPr>
      <w:r w:rsidRPr="00E0354F">
        <w:rPr>
          <w:rFonts w:cstheme="minorHAnsi"/>
          <w:lang w:val="en-US"/>
        </w:rPr>
        <w:t>endangerment of an individual’s health or safety;</w:t>
      </w:r>
    </w:p>
    <w:p w14:paraId="2486B837" w14:textId="77777777" w:rsidR="00827DB9" w:rsidRPr="00E0354F" w:rsidRDefault="00827DB9" w:rsidP="00827DB9">
      <w:pPr>
        <w:pStyle w:val="NoSpacing"/>
        <w:numPr>
          <w:ilvl w:val="0"/>
          <w:numId w:val="10"/>
        </w:numPr>
        <w:rPr>
          <w:rFonts w:cstheme="minorHAnsi"/>
          <w:lang w:val="en-US"/>
        </w:rPr>
      </w:pPr>
      <w:r w:rsidRPr="00E0354F">
        <w:rPr>
          <w:rFonts w:cstheme="minorHAnsi"/>
          <w:lang w:val="en-US"/>
        </w:rPr>
        <w:lastRenderedPageBreak/>
        <w:t>damage to the environment;</w:t>
      </w:r>
    </w:p>
    <w:p w14:paraId="5F55DC90" w14:textId="77777777" w:rsidR="00827DB9" w:rsidRPr="00E0354F" w:rsidRDefault="00827DB9" w:rsidP="00827DB9">
      <w:pPr>
        <w:pStyle w:val="NoSpacing"/>
        <w:numPr>
          <w:ilvl w:val="0"/>
          <w:numId w:val="10"/>
        </w:numPr>
        <w:rPr>
          <w:rFonts w:cstheme="minorHAnsi"/>
          <w:lang w:val="en-US"/>
        </w:rPr>
      </w:pPr>
      <w:r w:rsidRPr="00E0354F">
        <w:rPr>
          <w:rFonts w:cstheme="minorHAnsi"/>
          <w:lang w:val="en-US"/>
        </w:rPr>
        <w:t>unlawful or improper use of funds or resources by a public body;</w:t>
      </w:r>
    </w:p>
    <w:p w14:paraId="7BFB5E32" w14:textId="1311F675" w:rsidR="00827DB9" w:rsidRPr="00E0354F" w:rsidRDefault="00827DB9" w:rsidP="00827DB9">
      <w:pPr>
        <w:pStyle w:val="NoSpacing"/>
        <w:numPr>
          <w:ilvl w:val="0"/>
          <w:numId w:val="10"/>
        </w:numPr>
        <w:rPr>
          <w:rFonts w:cstheme="minorHAnsi"/>
          <w:lang w:val="en-US"/>
        </w:rPr>
      </w:pPr>
      <w:r w:rsidRPr="00E0354F">
        <w:rPr>
          <w:rFonts w:cstheme="minorHAnsi"/>
          <w:lang w:val="en-US"/>
        </w:rPr>
        <w:t>oppressive, discriminatory or grossly negligent behavior or gross mismanagement by a public body;</w:t>
      </w:r>
    </w:p>
    <w:p w14:paraId="755994DA" w14:textId="7308D3C6" w:rsidR="00827DB9" w:rsidRPr="00E0354F" w:rsidRDefault="00827DB9" w:rsidP="00827DB9">
      <w:pPr>
        <w:pStyle w:val="NoSpacing"/>
        <w:numPr>
          <w:ilvl w:val="0"/>
          <w:numId w:val="10"/>
        </w:numPr>
        <w:rPr>
          <w:rFonts w:cstheme="minorHAnsi"/>
          <w:lang w:val="en-US"/>
        </w:rPr>
      </w:pPr>
      <w:r w:rsidRPr="00E0354F">
        <w:rPr>
          <w:rFonts w:cstheme="minorHAnsi"/>
          <w:lang w:val="en-US"/>
        </w:rPr>
        <w:t>breaches of European Union law set out in the 2022 Act</w:t>
      </w:r>
    </w:p>
    <w:p w14:paraId="2D174EDD" w14:textId="77777777" w:rsidR="00827DB9" w:rsidRPr="00E0354F" w:rsidRDefault="00827DB9" w:rsidP="00827DB9">
      <w:pPr>
        <w:pStyle w:val="NoSpacing"/>
        <w:numPr>
          <w:ilvl w:val="0"/>
          <w:numId w:val="10"/>
        </w:numPr>
        <w:rPr>
          <w:rFonts w:cstheme="minorHAnsi"/>
          <w:lang w:val="en-US"/>
        </w:rPr>
      </w:pPr>
      <w:r w:rsidRPr="00E0354F">
        <w:rPr>
          <w:rFonts w:cstheme="minorHAnsi"/>
          <w:lang w:val="en-US"/>
        </w:rPr>
        <w:t xml:space="preserve">concealment or destruction of evidence relating to any of the above wrongdoings.    </w:t>
      </w:r>
    </w:p>
    <w:p w14:paraId="7239467B" w14:textId="77777777" w:rsidR="00827DB9" w:rsidRPr="00E0354F" w:rsidRDefault="00827DB9" w:rsidP="00827DB9">
      <w:pPr>
        <w:pStyle w:val="ListParagraph"/>
        <w:numPr>
          <w:ilvl w:val="0"/>
          <w:numId w:val="10"/>
        </w:numPr>
        <w:spacing w:after="0"/>
        <w:jc w:val="both"/>
        <w:rPr>
          <w:rFonts w:asciiTheme="minorHAnsi" w:hAnsiTheme="minorHAnsi" w:cstheme="minorHAnsi"/>
        </w:rPr>
      </w:pPr>
      <w:r w:rsidRPr="00E0354F">
        <w:rPr>
          <w:rFonts w:asciiTheme="minorHAnsi" w:hAnsiTheme="minorHAnsi" w:cstheme="minorHAnsi"/>
        </w:rPr>
        <w:t>Any other form of serious improper action or conduct</w:t>
      </w:r>
    </w:p>
    <w:p w14:paraId="08B07698" w14:textId="0D73C348" w:rsidR="00827DB9" w:rsidRPr="00E0354F" w:rsidRDefault="00827DB9" w:rsidP="00827DB9">
      <w:pPr>
        <w:pStyle w:val="NoSpacing"/>
        <w:ind w:left="720"/>
        <w:rPr>
          <w:rFonts w:cstheme="minorHAnsi"/>
          <w:lang w:val="en-US"/>
        </w:rPr>
      </w:pPr>
      <w:r w:rsidRPr="00E0354F">
        <w:rPr>
          <w:rFonts w:cstheme="minorHAnsi"/>
          <w:lang w:val="en-US"/>
        </w:rPr>
        <w:t> </w:t>
      </w:r>
    </w:p>
    <w:p w14:paraId="361595F6" w14:textId="47585B76" w:rsidR="00827DB9" w:rsidRPr="00E0354F" w:rsidRDefault="00827DB9" w:rsidP="00827DB9">
      <w:pPr>
        <w:jc w:val="both"/>
        <w:rPr>
          <w:rFonts w:cstheme="minorHAnsi"/>
        </w:rPr>
      </w:pPr>
      <w:r w:rsidRPr="00E0354F">
        <w:rPr>
          <w:rFonts w:cstheme="minorHAnsi"/>
          <w:lang w:val="en-US"/>
        </w:rPr>
        <w:t>T</w:t>
      </w:r>
      <w:r w:rsidRPr="00E0354F">
        <w:rPr>
          <w:rFonts w:cstheme="minorHAnsi"/>
        </w:rPr>
        <w:t>his policy does not replace any legal reporting or disclosure requirements. Where these requirements  exist, these must be complied with fully.</w:t>
      </w:r>
    </w:p>
    <w:p w14:paraId="3EF349AB" w14:textId="65A08414" w:rsidR="00661EB1" w:rsidRPr="00E0354F" w:rsidRDefault="00661EB1" w:rsidP="00661EB1">
      <w:pPr>
        <w:spacing w:after="0"/>
        <w:jc w:val="both"/>
        <w:rPr>
          <w:rFonts w:cstheme="minorHAnsi"/>
        </w:rPr>
      </w:pPr>
      <w:r w:rsidRPr="00E0354F">
        <w:rPr>
          <w:rFonts w:cstheme="minorHAnsi"/>
        </w:rPr>
        <w:t xml:space="preserve">When making a disclosure, the employee will need to be able to provide any reasons and/or evidence in relation to the concerns. Any disclosures made should be factual and should address the alleged relevant wrongdoing that has occurred, is occurring, or is likely to occur. </w:t>
      </w:r>
    </w:p>
    <w:p w14:paraId="1555D606" w14:textId="77777777" w:rsidR="00661EB1" w:rsidRPr="00E0354F" w:rsidRDefault="00661EB1" w:rsidP="00661EB1">
      <w:pPr>
        <w:spacing w:after="0"/>
        <w:jc w:val="both"/>
        <w:rPr>
          <w:rFonts w:cstheme="minorHAnsi"/>
        </w:rPr>
      </w:pPr>
    </w:p>
    <w:p w14:paraId="0A6899C8" w14:textId="1823D5EC" w:rsidR="009C5B94" w:rsidRPr="00E0354F" w:rsidRDefault="009C5B94" w:rsidP="005E4870">
      <w:pPr>
        <w:pStyle w:val="NoSpacing"/>
        <w:rPr>
          <w:rFonts w:cstheme="minorHAnsi"/>
        </w:rPr>
      </w:pPr>
      <w:r w:rsidRPr="00E0354F">
        <w:rPr>
          <w:rFonts w:cstheme="minorHAnsi"/>
        </w:rPr>
        <w:t xml:space="preserve">This policy is not appropriate for dealing with </w:t>
      </w:r>
      <w:r w:rsidR="00827DB9" w:rsidRPr="00E0354F">
        <w:rPr>
          <w:rFonts w:cstheme="minorHAnsi"/>
        </w:rPr>
        <w:t xml:space="preserve">your own employment in the workplace, </w:t>
      </w:r>
      <w:r w:rsidRPr="00E0354F">
        <w:rPr>
          <w:rFonts w:cstheme="minorHAnsi"/>
        </w:rPr>
        <w:t>issues of harassment, sexual harassment, bullying, personal concerns</w:t>
      </w:r>
      <w:r w:rsidR="00827DB9" w:rsidRPr="00E0354F">
        <w:rPr>
          <w:rFonts w:cstheme="minorHAnsi"/>
        </w:rPr>
        <w:t xml:space="preserve">, concerns arising in regard to workplace relationships </w:t>
      </w:r>
      <w:r w:rsidRPr="00E0354F">
        <w:rPr>
          <w:rFonts w:cstheme="minorHAnsi"/>
        </w:rPr>
        <w:t>or individual grievances</w:t>
      </w:r>
      <w:r w:rsidR="00CD5D24" w:rsidRPr="00E0354F">
        <w:rPr>
          <w:rFonts w:cstheme="minorHAnsi"/>
        </w:rPr>
        <w:t>.   Concerns such as these would be more appropriately processed through our Bullying and Harassment, or Grievance Procedures.</w:t>
      </w:r>
    </w:p>
    <w:p w14:paraId="69E04DDE" w14:textId="77777777" w:rsidR="00CD5D24" w:rsidRPr="00E0354F" w:rsidRDefault="00CD5D24" w:rsidP="005E4870">
      <w:pPr>
        <w:pStyle w:val="NoSpacing"/>
        <w:rPr>
          <w:rFonts w:cstheme="minorHAnsi"/>
        </w:rPr>
      </w:pPr>
    </w:p>
    <w:p w14:paraId="5D183109" w14:textId="3AF8902C" w:rsidR="000A0622" w:rsidRPr="00E0354F" w:rsidRDefault="000A0622" w:rsidP="005E4870">
      <w:pPr>
        <w:pStyle w:val="NoSpacing"/>
        <w:rPr>
          <w:rFonts w:cstheme="minorHAnsi"/>
          <w:b/>
        </w:rPr>
      </w:pPr>
      <w:r w:rsidRPr="00E0354F">
        <w:rPr>
          <w:rFonts w:cstheme="minorHAnsi"/>
          <w:b/>
        </w:rPr>
        <w:t>Procedure for making a protected disclosure:</w:t>
      </w:r>
    </w:p>
    <w:p w14:paraId="041E1BFC" w14:textId="77777777" w:rsidR="000A0622" w:rsidRPr="00E0354F" w:rsidRDefault="000A0622" w:rsidP="005E4870">
      <w:pPr>
        <w:pStyle w:val="NoSpacing"/>
        <w:rPr>
          <w:rFonts w:cstheme="minorHAnsi"/>
          <w:b/>
        </w:rPr>
      </w:pPr>
    </w:p>
    <w:p w14:paraId="122453BD" w14:textId="6CBFB336" w:rsidR="000D20B9" w:rsidRPr="00E0354F" w:rsidRDefault="000D20B9" w:rsidP="005E4870">
      <w:pPr>
        <w:pStyle w:val="NoSpacing"/>
        <w:rPr>
          <w:rFonts w:cstheme="minorHAnsi"/>
          <w:b/>
        </w:rPr>
      </w:pPr>
      <w:r w:rsidRPr="00E0354F">
        <w:rPr>
          <w:rFonts w:cstheme="minorHAnsi"/>
          <w:b/>
        </w:rPr>
        <w:t>Internal Procedure:</w:t>
      </w:r>
    </w:p>
    <w:p w14:paraId="16AD2E30" w14:textId="02D91037" w:rsidR="000A0622" w:rsidRPr="00E0354F" w:rsidRDefault="000A0622" w:rsidP="005E4870">
      <w:pPr>
        <w:pStyle w:val="NoSpacing"/>
        <w:rPr>
          <w:rFonts w:cstheme="minorHAnsi"/>
        </w:rPr>
      </w:pPr>
      <w:r w:rsidRPr="00E0354F">
        <w:rPr>
          <w:rFonts w:cstheme="minorHAnsi"/>
        </w:rPr>
        <w:t xml:space="preserve">Appropriate concerns should be raised with </w:t>
      </w:r>
      <w:r w:rsidR="003F78F2" w:rsidRPr="00E0354F">
        <w:rPr>
          <w:rFonts w:cstheme="minorHAnsi"/>
        </w:rPr>
        <w:t>the Company’s appointed ‘</w:t>
      </w:r>
      <w:bookmarkStart w:id="1" w:name="_Hlk122435545"/>
      <w:r w:rsidR="003F78F2" w:rsidRPr="00E0354F">
        <w:rPr>
          <w:rFonts w:cstheme="minorHAnsi"/>
        </w:rPr>
        <w:t>Designated Person’</w:t>
      </w:r>
      <w:bookmarkEnd w:id="1"/>
      <w:r w:rsidR="003F78F2" w:rsidRPr="00E0354F">
        <w:rPr>
          <w:rFonts w:cstheme="minorHAnsi"/>
        </w:rPr>
        <w:t xml:space="preserve"> (insert details of this employee) </w:t>
      </w:r>
      <w:r w:rsidRPr="00E0354F">
        <w:rPr>
          <w:rFonts w:cstheme="minorHAnsi"/>
        </w:rPr>
        <w:t xml:space="preserve">in the first instance. </w:t>
      </w:r>
      <w:r w:rsidR="00DF3266" w:rsidRPr="00E0354F">
        <w:rPr>
          <w:rFonts w:cstheme="minorHAnsi"/>
        </w:rPr>
        <w:t xml:space="preserve"> </w:t>
      </w:r>
    </w:p>
    <w:p w14:paraId="0CD1A794" w14:textId="77777777" w:rsidR="00DF3266" w:rsidRPr="00E0354F" w:rsidRDefault="00DF3266" w:rsidP="005E4870">
      <w:pPr>
        <w:pStyle w:val="NoSpacing"/>
        <w:rPr>
          <w:rFonts w:cstheme="minorHAnsi"/>
        </w:rPr>
      </w:pPr>
    </w:p>
    <w:p w14:paraId="4E21F362" w14:textId="07A58F50" w:rsidR="003F78F2" w:rsidRPr="00E0354F" w:rsidRDefault="00DF3266" w:rsidP="003972DE">
      <w:pPr>
        <w:spacing w:after="0"/>
        <w:jc w:val="both"/>
        <w:rPr>
          <w:rFonts w:cstheme="minorHAnsi"/>
        </w:rPr>
      </w:pPr>
      <w:r w:rsidRPr="00E0354F">
        <w:rPr>
          <w:rFonts w:cstheme="minorHAnsi"/>
        </w:rPr>
        <w:t>A concern can be raised verbally or in writing.</w:t>
      </w:r>
      <w:r w:rsidR="003F78F2" w:rsidRPr="00E0354F">
        <w:rPr>
          <w:rFonts w:cstheme="minorHAnsi"/>
        </w:rPr>
        <w:t xml:space="preserve"> It is important that disclosures raised orally initially be followed up with an in-person meeting. </w:t>
      </w:r>
      <w:r w:rsidR="003972DE" w:rsidRPr="00E0354F">
        <w:rPr>
          <w:rFonts w:cstheme="minorHAnsi"/>
        </w:rPr>
        <w:t>While disclosures may be raised either orally or in writing the Company’s preference is that a disclosure is confirmed in writing.</w:t>
      </w:r>
    </w:p>
    <w:p w14:paraId="08C142B5" w14:textId="77777777" w:rsidR="003972DE" w:rsidRPr="00E0354F" w:rsidRDefault="003972DE" w:rsidP="003972DE">
      <w:pPr>
        <w:spacing w:after="0"/>
        <w:jc w:val="both"/>
        <w:rPr>
          <w:rFonts w:cstheme="minorHAnsi"/>
        </w:rPr>
      </w:pPr>
    </w:p>
    <w:p w14:paraId="7FA838E7" w14:textId="77777777" w:rsidR="00090644" w:rsidRPr="00E0354F" w:rsidRDefault="00DF3266" w:rsidP="00090644">
      <w:pPr>
        <w:jc w:val="both"/>
        <w:rPr>
          <w:rFonts w:cstheme="minorHAnsi"/>
        </w:rPr>
      </w:pPr>
      <w:r w:rsidRPr="00E0354F">
        <w:rPr>
          <w:rFonts w:cstheme="minorHAnsi"/>
        </w:rPr>
        <w:t>Once the matter has been raised</w:t>
      </w:r>
      <w:r w:rsidR="001D5143" w:rsidRPr="00E0354F">
        <w:rPr>
          <w:rFonts w:cstheme="minorHAnsi"/>
        </w:rPr>
        <w:t xml:space="preserve"> you will receive an acknowledgement from the Designated Person within 7 days that the disclosure has been received.</w:t>
      </w:r>
      <w:r w:rsidR="00090644" w:rsidRPr="00E0354F">
        <w:rPr>
          <w:rFonts w:cstheme="minorHAnsi"/>
        </w:rPr>
        <w:t xml:space="preserve"> </w:t>
      </w:r>
    </w:p>
    <w:p w14:paraId="426DC0BB" w14:textId="77777777" w:rsidR="009B139F" w:rsidRPr="00E0354F" w:rsidRDefault="00184CF4" w:rsidP="00090644">
      <w:pPr>
        <w:jc w:val="both"/>
        <w:rPr>
          <w:rFonts w:cstheme="minorHAnsi"/>
        </w:rPr>
      </w:pPr>
      <w:r w:rsidRPr="00E0354F">
        <w:rPr>
          <w:rFonts w:cstheme="minorHAnsi"/>
        </w:rPr>
        <w:t xml:space="preserve">An initial assessment of the disclosure will be undertaken by the Designated Person to assess whether there is a </w:t>
      </w:r>
      <w:r w:rsidRPr="00E0354F">
        <w:rPr>
          <w:rFonts w:cstheme="minorHAnsi"/>
          <w:i/>
          <w:iCs/>
        </w:rPr>
        <w:t xml:space="preserve">prima facie </w:t>
      </w:r>
      <w:r w:rsidRPr="00E0354F">
        <w:rPr>
          <w:rFonts w:cstheme="minorHAnsi"/>
        </w:rPr>
        <w:t>case that the relevant wrongdoing occurred.</w:t>
      </w:r>
      <w:r w:rsidR="00090644" w:rsidRPr="00E0354F">
        <w:rPr>
          <w:rFonts w:cstheme="minorHAnsi"/>
        </w:rPr>
        <w:t xml:space="preserve"> </w:t>
      </w:r>
    </w:p>
    <w:p w14:paraId="23CEA9EB" w14:textId="0787A89E" w:rsidR="00184CF4" w:rsidRPr="00E0354F" w:rsidRDefault="00184CF4" w:rsidP="00090644">
      <w:pPr>
        <w:jc w:val="both"/>
        <w:rPr>
          <w:rFonts w:cstheme="minorHAnsi"/>
        </w:rPr>
      </w:pPr>
      <w:r w:rsidRPr="00E0354F">
        <w:rPr>
          <w:rFonts w:cstheme="minorHAnsi"/>
        </w:rPr>
        <w:t>Where the Designated Person deem</w:t>
      </w:r>
      <w:r w:rsidR="00090644" w:rsidRPr="00E0354F">
        <w:rPr>
          <w:rFonts w:cstheme="minorHAnsi"/>
        </w:rPr>
        <w:t>ed</w:t>
      </w:r>
      <w:r w:rsidRPr="00E0354F">
        <w:rPr>
          <w:rFonts w:cstheme="minorHAnsi"/>
        </w:rPr>
        <w:t xml:space="preserve"> there is no evidence that any wrongdoing occurred, th</w:t>
      </w:r>
      <w:r w:rsidR="00090644" w:rsidRPr="00E0354F">
        <w:rPr>
          <w:rFonts w:cstheme="minorHAnsi"/>
        </w:rPr>
        <w:t>is</w:t>
      </w:r>
      <w:r w:rsidRPr="00E0354F">
        <w:rPr>
          <w:rFonts w:cstheme="minorHAnsi"/>
        </w:rPr>
        <w:t xml:space="preserve"> process will end. The </w:t>
      </w:r>
      <w:r w:rsidR="00090644" w:rsidRPr="00E0354F">
        <w:rPr>
          <w:rFonts w:cstheme="minorHAnsi"/>
        </w:rPr>
        <w:t>employee</w:t>
      </w:r>
      <w:r w:rsidRPr="00E0354F">
        <w:rPr>
          <w:rFonts w:cstheme="minorHAnsi"/>
        </w:rPr>
        <w:t xml:space="preserve"> will be </w:t>
      </w:r>
      <w:r w:rsidR="00090644" w:rsidRPr="00E0354F">
        <w:rPr>
          <w:rFonts w:cstheme="minorHAnsi"/>
        </w:rPr>
        <w:t>informed</w:t>
      </w:r>
      <w:r w:rsidRPr="00E0354F">
        <w:rPr>
          <w:rFonts w:cstheme="minorHAnsi"/>
        </w:rPr>
        <w:t xml:space="preserve"> in writing of the decision, and the reasons </w:t>
      </w:r>
      <w:r w:rsidR="00090644" w:rsidRPr="00E0354F">
        <w:rPr>
          <w:rFonts w:cstheme="minorHAnsi"/>
        </w:rPr>
        <w:t>for this decision</w:t>
      </w:r>
      <w:r w:rsidRPr="00E0354F">
        <w:rPr>
          <w:rFonts w:cstheme="minorHAnsi"/>
        </w:rPr>
        <w:t xml:space="preserve">. </w:t>
      </w:r>
      <w:r w:rsidR="00090644" w:rsidRPr="00E0354F">
        <w:rPr>
          <w:rFonts w:cstheme="minorHAnsi"/>
        </w:rPr>
        <w:t>T</w:t>
      </w:r>
      <w:r w:rsidRPr="00E0354F">
        <w:rPr>
          <w:rFonts w:cstheme="minorHAnsi"/>
        </w:rPr>
        <w:t>he Designated Person may direct the</w:t>
      </w:r>
      <w:r w:rsidR="00090644" w:rsidRPr="00E0354F">
        <w:rPr>
          <w:rFonts w:cstheme="minorHAnsi"/>
        </w:rPr>
        <w:t xml:space="preserve"> employee</w:t>
      </w:r>
      <w:r w:rsidRPr="00E0354F">
        <w:rPr>
          <w:rFonts w:cstheme="minorHAnsi"/>
        </w:rPr>
        <w:t xml:space="preserve"> to an alternative Company policy in order to address the concern raised</w:t>
      </w:r>
      <w:r w:rsidR="00090644" w:rsidRPr="00E0354F">
        <w:rPr>
          <w:rFonts w:cstheme="minorHAnsi"/>
        </w:rPr>
        <w:t xml:space="preserve"> if appropriate</w:t>
      </w:r>
      <w:r w:rsidRPr="00E0354F">
        <w:rPr>
          <w:rFonts w:cstheme="minorHAnsi"/>
        </w:rPr>
        <w:t xml:space="preserve">. </w:t>
      </w:r>
    </w:p>
    <w:p w14:paraId="3B6AEA72" w14:textId="715EA376" w:rsidR="0022188F" w:rsidRPr="00E0354F" w:rsidRDefault="00184CF4" w:rsidP="0022188F">
      <w:pPr>
        <w:jc w:val="both"/>
        <w:rPr>
          <w:rFonts w:cstheme="minorHAnsi"/>
        </w:rPr>
      </w:pPr>
      <w:r w:rsidRPr="00E0354F">
        <w:rPr>
          <w:rFonts w:cstheme="minorHAnsi"/>
        </w:rPr>
        <w:t>Where the Designated Person deems that there is sufficient evidence to suggest that a wrongdoing may have occurred, then appropriate action</w:t>
      </w:r>
      <w:r w:rsidR="00090644" w:rsidRPr="00E0354F">
        <w:rPr>
          <w:rFonts w:cstheme="minorHAnsi"/>
        </w:rPr>
        <w:t xml:space="preserve"> will </w:t>
      </w:r>
      <w:r w:rsidRPr="00E0354F">
        <w:rPr>
          <w:rFonts w:cstheme="minorHAnsi"/>
        </w:rPr>
        <w:t>be undertaken</w:t>
      </w:r>
      <w:r w:rsidR="00090644" w:rsidRPr="00E0354F">
        <w:rPr>
          <w:rFonts w:cstheme="minorHAnsi"/>
        </w:rPr>
        <w:t xml:space="preserve">. </w:t>
      </w:r>
      <w:r w:rsidR="00717564" w:rsidRPr="00E0354F">
        <w:rPr>
          <w:rFonts w:cstheme="minorHAnsi"/>
        </w:rPr>
        <w:t xml:space="preserve">The Designated Person will confirm that the outcome of the disclosure process is tracked and ensure records are maintained. </w:t>
      </w:r>
      <w:r w:rsidR="00090644" w:rsidRPr="00E0354F">
        <w:rPr>
          <w:rFonts w:cstheme="minorHAnsi"/>
        </w:rPr>
        <w:t>D</w:t>
      </w:r>
      <w:r w:rsidRPr="00E0354F">
        <w:rPr>
          <w:rFonts w:cstheme="minorHAnsi"/>
        </w:rPr>
        <w:t xml:space="preserve">epending on the nature and seriousness of the disclosure, the Designated Person may escalate the matter internally as appropriate. The Designated Person will </w:t>
      </w:r>
      <w:r w:rsidR="00063603" w:rsidRPr="00E0354F">
        <w:rPr>
          <w:rFonts w:cstheme="minorHAnsi"/>
        </w:rPr>
        <w:t>kept the employee informed at all stages of steps being taken by the company in response to your disclosure.</w:t>
      </w:r>
      <w:r w:rsidR="00965431" w:rsidRPr="00E0354F">
        <w:rPr>
          <w:rFonts w:cstheme="minorHAnsi"/>
        </w:rPr>
        <w:t xml:space="preserve"> </w:t>
      </w:r>
      <w:r w:rsidR="00063603" w:rsidRPr="00E0354F">
        <w:rPr>
          <w:rFonts w:cstheme="minorHAnsi"/>
        </w:rPr>
        <w:t>The</w:t>
      </w:r>
      <w:r w:rsidR="00965431" w:rsidRPr="00E0354F">
        <w:rPr>
          <w:rFonts w:cstheme="minorHAnsi"/>
        </w:rPr>
        <w:t xml:space="preserve"> Designated Person</w:t>
      </w:r>
      <w:r w:rsidR="00063603" w:rsidRPr="00E0354F">
        <w:rPr>
          <w:rFonts w:cstheme="minorHAnsi"/>
        </w:rPr>
        <w:t xml:space="preserve"> will </w:t>
      </w:r>
      <w:r w:rsidR="00CE2D34" w:rsidRPr="00E0354F">
        <w:rPr>
          <w:rFonts w:cstheme="minorHAnsi"/>
        </w:rPr>
        <w:t>contact</w:t>
      </w:r>
      <w:r w:rsidRPr="00E0354F">
        <w:rPr>
          <w:rFonts w:cstheme="minorHAnsi"/>
        </w:rPr>
        <w:t xml:space="preserve"> the </w:t>
      </w:r>
      <w:r w:rsidR="00CE2D34" w:rsidRPr="00E0354F">
        <w:rPr>
          <w:rFonts w:cstheme="minorHAnsi"/>
        </w:rPr>
        <w:t>employee</w:t>
      </w:r>
      <w:r w:rsidRPr="00E0354F">
        <w:rPr>
          <w:rFonts w:cstheme="minorHAnsi"/>
        </w:rPr>
        <w:t xml:space="preserve"> and provide </w:t>
      </w:r>
      <w:r w:rsidRPr="00E0354F">
        <w:rPr>
          <w:rFonts w:cstheme="minorHAnsi"/>
        </w:rPr>
        <w:lastRenderedPageBreak/>
        <w:t xml:space="preserve">feedback </w:t>
      </w:r>
      <w:r w:rsidR="00063603" w:rsidRPr="00E0354F">
        <w:rPr>
          <w:rFonts w:cstheme="minorHAnsi"/>
        </w:rPr>
        <w:t xml:space="preserve">and a </w:t>
      </w:r>
      <w:r w:rsidR="0022188F" w:rsidRPr="00E0354F">
        <w:rPr>
          <w:rFonts w:cstheme="minorHAnsi"/>
        </w:rPr>
        <w:t>likely timeframes regarding these steps</w:t>
      </w:r>
      <w:r w:rsidR="00965431" w:rsidRPr="00E0354F">
        <w:rPr>
          <w:rFonts w:cstheme="minorHAnsi"/>
        </w:rPr>
        <w:t xml:space="preserve">, </w:t>
      </w:r>
      <w:r w:rsidR="0022188F" w:rsidRPr="00E0354F">
        <w:rPr>
          <w:rFonts w:cstheme="minorHAnsi"/>
        </w:rPr>
        <w:t>and eventually the outcome of any investigation undertaken as a result of your disclosure</w:t>
      </w:r>
      <w:r w:rsidR="00662C83" w:rsidRPr="00E0354F">
        <w:rPr>
          <w:rFonts w:cstheme="minorHAnsi"/>
        </w:rPr>
        <w:t>, within 3 months.</w:t>
      </w:r>
    </w:p>
    <w:p w14:paraId="631E9F2B" w14:textId="77777777" w:rsidR="000D20B9" w:rsidRPr="00E0354F" w:rsidRDefault="000D20B9" w:rsidP="005E4870">
      <w:pPr>
        <w:pStyle w:val="NoSpacing"/>
        <w:rPr>
          <w:rFonts w:cstheme="minorHAnsi"/>
        </w:rPr>
      </w:pPr>
    </w:p>
    <w:p w14:paraId="28CD258A" w14:textId="77777777" w:rsidR="000D20B9" w:rsidRPr="00E0354F" w:rsidRDefault="000D20B9" w:rsidP="005E4870">
      <w:pPr>
        <w:pStyle w:val="NoSpacing"/>
        <w:rPr>
          <w:rFonts w:cstheme="minorHAnsi"/>
          <w:b/>
        </w:rPr>
      </w:pPr>
      <w:r w:rsidRPr="00E0354F">
        <w:rPr>
          <w:rFonts w:cstheme="minorHAnsi"/>
          <w:b/>
        </w:rPr>
        <w:t>External Procedure:</w:t>
      </w:r>
    </w:p>
    <w:p w14:paraId="6125EEB4" w14:textId="77777777" w:rsidR="000D20B9" w:rsidRPr="00E0354F" w:rsidRDefault="000D20B9" w:rsidP="005E4870">
      <w:pPr>
        <w:pStyle w:val="NoSpacing"/>
        <w:rPr>
          <w:rFonts w:cstheme="minorHAnsi"/>
          <w:b/>
        </w:rPr>
      </w:pPr>
    </w:p>
    <w:p w14:paraId="07436BDA" w14:textId="6C2CD315" w:rsidR="000D20B9" w:rsidRPr="00E0354F" w:rsidRDefault="00EC4DD6" w:rsidP="005E4870">
      <w:pPr>
        <w:pStyle w:val="NoSpacing"/>
        <w:rPr>
          <w:rFonts w:cstheme="minorHAnsi"/>
        </w:rPr>
      </w:pPr>
      <w:r w:rsidRPr="00E0354F">
        <w:rPr>
          <w:rFonts w:cstheme="minorHAnsi"/>
        </w:rPr>
        <w:t xml:space="preserve">While </w:t>
      </w:r>
      <w:r w:rsidR="00DE164A" w:rsidRPr="00E0354F">
        <w:rPr>
          <w:rFonts w:cstheme="minorHAnsi"/>
        </w:rPr>
        <w:t>employee</w:t>
      </w:r>
      <w:r w:rsidRPr="00E0354F">
        <w:rPr>
          <w:rFonts w:cstheme="minorHAnsi"/>
        </w:rPr>
        <w:t>s are encouraged, enabled and supported to raise concerns internally in the first instance, it is recognised that in very limited circumstances this might not be appropriate.</w:t>
      </w:r>
    </w:p>
    <w:p w14:paraId="408D325B" w14:textId="77777777" w:rsidR="00EC4DD6" w:rsidRPr="00E0354F" w:rsidRDefault="00EC4DD6" w:rsidP="005E4870">
      <w:pPr>
        <w:pStyle w:val="NoSpacing"/>
        <w:rPr>
          <w:rFonts w:cstheme="minorHAnsi"/>
        </w:rPr>
      </w:pPr>
    </w:p>
    <w:p w14:paraId="03D1B4B0" w14:textId="5631863D" w:rsidR="00EC4DD6" w:rsidRPr="00E0354F" w:rsidRDefault="00EC4DD6" w:rsidP="005E4870">
      <w:pPr>
        <w:pStyle w:val="NoSpacing"/>
        <w:rPr>
          <w:rFonts w:cstheme="minorHAnsi"/>
        </w:rPr>
      </w:pPr>
      <w:r w:rsidRPr="00E0354F">
        <w:rPr>
          <w:rFonts w:cstheme="minorHAnsi"/>
        </w:rPr>
        <w:t xml:space="preserve">It is important to note however, that while you need only have a reasonable belief as to </w:t>
      </w:r>
      <w:r w:rsidR="005E4870" w:rsidRPr="00E0354F">
        <w:rPr>
          <w:rFonts w:cstheme="minorHAnsi"/>
        </w:rPr>
        <w:t>wrongdoing</w:t>
      </w:r>
      <w:r w:rsidRPr="00E0354F">
        <w:rPr>
          <w:rFonts w:cstheme="minorHAnsi"/>
        </w:rPr>
        <w:t xml:space="preserve"> to make a disclosure internally, if you are considering an external disclosure, different and potentially more onerous obligations apply depending on to whom the disclosure is made.</w:t>
      </w:r>
    </w:p>
    <w:p w14:paraId="53BE04E6" w14:textId="77777777" w:rsidR="00182FAF" w:rsidRPr="00E0354F" w:rsidRDefault="00182FAF" w:rsidP="005E4870">
      <w:pPr>
        <w:pStyle w:val="NoSpacing"/>
        <w:rPr>
          <w:rFonts w:cstheme="minorHAnsi"/>
        </w:rPr>
      </w:pPr>
    </w:p>
    <w:p w14:paraId="196ADFF4" w14:textId="57F4F2EA" w:rsidR="00E0354F" w:rsidRPr="00E0354F" w:rsidRDefault="00182FAF" w:rsidP="00182FAF">
      <w:pPr>
        <w:jc w:val="both"/>
        <w:rPr>
          <w:rFonts w:cstheme="minorHAnsi"/>
        </w:rPr>
      </w:pPr>
      <w:r w:rsidRPr="00E0354F">
        <w:rPr>
          <w:rFonts w:cstheme="minorHAnsi"/>
        </w:rPr>
        <w:t>The employee may be entitled to make a report to an appropriate external regulator, legal advisor, Minister or “prescribed person”</w:t>
      </w:r>
      <w:r w:rsidR="00E0354F" w:rsidRPr="00E0354F">
        <w:rPr>
          <w:rFonts w:cstheme="minorHAnsi"/>
        </w:rPr>
        <w:t xml:space="preserve"> (</w:t>
      </w:r>
      <w:r w:rsidR="00E0354F" w:rsidRPr="00E0354F">
        <w:rPr>
          <w:rFonts w:cstheme="minorHAnsi"/>
        </w:rPr>
        <w:t xml:space="preserve">A list of prescribed persons can be found at: </w:t>
      </w:r>
      <w:hyperlink r:id="rId7" w:history="1">
        <w:r w:rsidR="00E0354F" w:rsidRPr="00E0354F">
          <w:rPr>
            <w:rStyle w:val="Hyperlink"/>
            <w:rFonts w:cstheme="minorHAnsi"/>
            <w:color w:val="auto"/>
          </w:rPr>
          <w:t>www.gov.ie/prescribed-persons</w:t>
        </w:r>
      </w:hyperlink>
      <w:r w:rsidR="00E0354F" w:rsidRPr="00E0354F">
        <w:rPr>
          <w:rFonts w:cstheme="minorHAnsi"/>
        </w:rPr>
        <w:t>)</w:t>
      </w:r>
    </w:p>
    <w:p w14:paraId="1F4EDE8C" w14:textId="3FA44B6E" w:rsidR="00182FAF" w:rsidRPr="00E0354F" w:rsidRDefault="00182FAF" w:rsidP="00182FAF">
      <w:pPr>
        <w:pStyle w:val="ListParagraph"/>
        <w:numPr>
          <w:ilvl w:val="0"/>
          <w:numId w:val="16"/>
        </w:numPr>
        <w:jc w:val="both"/>
        <w:rPr>
          <w:rFonts w:asciiTheme="minorHAnsi" w:hAnsiTheme="minorHAnsi" w:cstheme="minorHAnsi"/>
        </w:rPr>
      </w:pPr>
      <w:r w:rsidRPr="00E0354F">
        <w:rPr>
          <w:rFonts w:asciiTheme="minorHAnsi" w:hAnsiTheme="minorHAnsi" w:cstheme="minorHAnsi"/>
        </w:rPr>
        <w:t>The employee may report to the Protected Disclosures Commissioner who will refer the report, for acknowledgement, follow-up and feedback.</w:t>
      </w:r>
    </w:p>
    <w:p w14:paraId="2FBC5948" w14:textId="1F33724B" w:rsidR="00182FAF" w:rsidRPr="00E0354F" w:rsidRDefault="00182FAF" w:rsidP="00182FAF">
      <w:pPr>
        <w:pStyle w:val="ListParagraph"/>
        <w:numPr>
          <w:ilvl w:val="0"/>
          <w:numId w:val="16"/>
        </w:numPr>
        <w:jc w:val="both"/>
        <w:rPr>
          <w:rFonts w:asciiTheme="minorHAnsi" w:hAnsiTheme="minorHAnsi" w:cstheme="minorHAnsi"/>
        </w:rPr>
      </w:pPr>
      <w:r w:rsidRPr="00E0354F">
        <w:rPr>
          <w:rFonts w:asciiTheme="minorHAnsi" w:hAnsiTheme="minorHAnsi" w:cstheme="minorHAnsi"/>
        </w:rPr>
        <w:t xml:space="preserve">The employee may also request that the Designated Person provide information on making disclosures to prescribed persons, the Protected Disclosures Commission and relevant EU agencies, where applicable. </w:t>
      </w:r>
    </w:p>
    <w:p w14:paraId="3A91A8CC" w14:textId="103BC267" w:rsidR="00182FAF" w:rsidRPr="00E0354F" w:rsidRDefault="00E0354F" w:rsidP="00182FAF">
      <w:pPr>
        <w:pStyle w:val="ListParagraph"/>
        <w:numPr>
          <w:ilvl w:val="0"/>
          <w:numId w:val="16"/>
        </w:numPr>
        <w:jc w:val="both"/>
        <w:rPr>
          <w:rFonts w:asciiTheme="minorHAnsi" w:hAnsiTheme="minorHAnsi" w:cstheme="minorHAnsi"/>
        </w:rPr>
      </w:pPr>
      <w:r w:rsidRPr="00E0354F">
        <w:rPr>
          <w:rFonts w:asciiTheme="minorHAnsi" w:hAnsiTheme="minorHAnsi" w:cstheme="minorHAnsi"/>
        </w:rPr>
        <w:t>A</w:t>
      </w:r>
      <w:r w:rsidR="00182FAF" w:rsidRPr="00E0354F">
        <w:rPr>
          <w:rFonts w:asciiTheme="minorHAnsi" w:hAnsiTheme="minorHAnsi" w:cstheme="minorHAnsi"/>
        </w:rPr>
        <w:t>n individual may make a report externally through other disclosure channels</w:t>
      </w:r>
      <w:r w:rsidR="00D86A7C" w:rsidRPr="00E0354F">
        <w:rPr>
          <w:rFonts w:asciiTheme="minorHAnsi" w:hAnsiTheme="minorHAnsi" w:cstheme="minorHAnsi"/>
        </w:rPr>
        <w:t xml:space="preserve">. </w:t>
      </w:r>
    </w:p>
    <w:p w14:paraId="1F0D7F6F" w14:textId="77777777" w:rsidR="000A0622" w:rsidRPr="00E0354F" w:rsidRDefault="000A0622" w:rsidP="005E4870">
      <w:pPr>
        <w:pStyle w:val="NoSpacing"/>
        <w:rPr>
          <w:rFonts w:cstheme="minorHAnsi"/>
          <w:b/>
        </w:rPr>
      </w:pPr>
    </w:p>
    <w:p w14:paraId="63DE8157" w14:textId="77777777" w:rsidR="000A0622" w:rsidRPr="00E0354F" w:rsidRDefault="000A0622" w:rsidP="005E4870">
      <w:pPr>
        <w:pStyle w:val="NoSpacing"/>
        <w:rPr>
          <w:rFonts w:cstheme="minorHAnsi"/>
          <w:b/>
        </w:rPr>
      </w:pPr>
      <w:r w:rsidRPr="00E0354F">
        <w:rPr>
          <w:rFonts w:cstheme="minorHAnsi"/>
          <w:b/>
        </w:rPr>
        <w:t>Confidentiality:</w:t>
      </w:r>
    </w:p>
    <w:p w14:paraId="6A14D366" w14:textId="77777777" w:rsidR="000A0622" w:rsidRPr="00E0354F" w:rsidRDefault="000A0622" w:rsidP="005E4870">
      <w:pPr>
        <w:pStyle w:val="NoSpacing"/>
        <w:rPr>
          <w:rFonts w:cstheme="minorHAnsi"/>
          <w:b/>
        </w:rPr>
      </w:pPr>
    </w:p>
    <w:p w14:paraId="24447365" w14:textId="37876AC4" w:rsidR="00073538" w:rsidRPr="00E0354F" w:rsidRDefault="00EC4DD6" w:rsidP="00073538">
      <w:pPr>
        <w:pStyle w:val="NoSpacing"/>
        <w:rPr>
          <w:rFonts w:cstheme="minorHAnsi"/>
        </w:rPr>
      </w:pPr>
      <w:r w:rsidRPr="00E0354F">
        <w:rPr>
          <w:rFonts w:cstheme="minorHAnsi"/>
        </w:rPr>
        <w:t xml:space="preserve">The organisation is committed to protecting the identity of the </w:t>
      </w:r>
      <w:r w:rsidR="00DE164A" w:rsidRPr="00E0354F">
        <w:rPr>
          <w:rFonts w:cstheme="minorHAnsi"/>
        </w:rPr>
        <w:t>employee</w:t>
      </w:r>
      <w:r w:rsidRPr="00E0354F">
        <w:rPr>
          <w:rFonts w:cstheme="minorHAnsi"/>
        </w:rPr>
        <w:t xml:space="preserve"> raising a concern and ensures that all reasonable steps are taken to ensure relevant disclosures are treated in confidence.   However, there may be circumstances in which this proves impossible, or where confidentiality cannot be maintained.   Should such a situation arise, </w:t>
      </w:r>
      <w:r w:rsidR="00AB7A95" w:rsidRPr="00E0354F">
        <w:rPr>
          <w:rFonts w:cstheme="minorHAnsi"/>
        </w:rPr>
        <w:t>the</w:t>
      </w:r>
      <w:r w:rsidR="00305A3D" w:rsidRPr="00E0354F">
        <w:rPr>
          <w:rFonts w:cstheme="minorHAnsi"/>
        </w:rPr>
        <w:t xml:space="preserve"> Company</w:t>
      </w:r>
      <w:r w:rsidRPr="00E0354F">
        <w:rPr>
          <w:rFonts w:cstheme="minorHAnsi"/>
        </w:rPr>
        <w:t xml:space="preserve"> will make every effort to inform the </w:t>
      </w:r>
      <w:r w:rsidR="00DE164A" w:rsidRPr="00E0354F">
        <w:rPr>
          <w:rFonts w:cstheme="minorHAnsi"/>
        </w:rPr>
        <w:t>employee</w:t>
      </w:r>
      <w:r w:rsidRPr="00E0354F">
        <w:rPr>
          <w:rFonts w:cstheme="minorHAnsi"/>
        </w:rPr>
        <w:t xml:space="preserve"> that his/her identity may be disclosed.</w:t>
      </w:r>
    </w:p>
    <w:p w14:paraId="42B2524E" w14:textId="77777777" w:rsidR="00073538" w:rsidRPr="00E0354F" w:rsidRDefault="00073538" w:rsidP="005E4870">
      <w:pPr>
        <w:pStyle w:val="NoSpacing"/>
        <w:rPr>
          <w:rFonts w:cstheme="minorHAnsi"/>
        </w:rPr>
      </w:pPr>
    </w:p>
    <w:p w14:paraId="3CD876B8" w14:textId="77777777" w:rsidR="000A0622" w:rsidRPr="00E0354F" w:rsidRDefault="000A0622" w:rsidP="005E4870">
      <w:pPr>
        <w:pStyle w:val="NoSpacing"/>
        <w:rPr>
          <w:rFonts w:cstheme="minorHAnsi"/>
          <w:b/>
        </w:rPr>
      </w:pPr>
    </w:p>
    <w:p w14:paraId="18E82220" w14:textId="77777777" w:rsidR="000A0622" w:rsidRPr="00E0354F" w:rsidRDefault="000A0622" w:rsidP="005E4870">
      <w:pPr>
        <w:pStyle w:val="NoSpacing"/>
        <w:rPr>
          <w:rFonts w:cstheme="minorHAnsi"/>
          <w:b/>
        </w:rPr>
      </w:pPr>
    </w:p>
    <w:p w14:paraId="06CB6833" w14:textId="446930A3" w:rsidR="00852473" w:rsidRPr="00E0354F" w:rsidRDefault="00852473" w:rsidP="005E4870">
      <w:pPr>
        <w:pStyle w:val="NoSpacing"/>
        <w:rPr>
          <w:rFonts w:cstheme="minorHAnsi"/>
          <w:b/>
          <w:bCs/>
        </w:rPr>
      </w:pPr>
      <w:r w:rsidRPr="00E0354F">
        <w:rPr>
          <w:rFonts w:cstheme="minorHAnsi"/>
          <w:b/>
          <w:bCs/>
        </w:rPr>
        <w:t>Safeguards and Penalisation:</w:t>
      </w:r>
    </w:p>
    <w:p w14:paraId="2FCE3E63" w14:textId="77777777" w:rsidR="00852473" w:rsidRPr="00E0354F" w:rsidRDefault="00852473" w:rsidP="005E4870">
      <w:pPr>
        <w:pStyle w:val="NoSpacing"/>
        <w:rPr>
          <w:rFonts w:cstheme="minorHAnsi"/>
          <w:b/>
          <w:bCs/>
        </w:rPr>
      </w:pPr>
    </w:p>
    <w:p w14:paraId="5AF25A74" w14:textId="63D19B27" w:rsidR="000A0622" w:rsidRPr="00E0354F" w:rsidRDefault="000A0622" w:rsidP="005E4870">
      <w:pPr>
        <w:pStyle w:val="NoSpacing"/>
        <w:rPr>
          <w:rFonts w:cstheme="minorHAnsi"/>
        </w:rPr>
      </w:pPr>
      <w:r w:rsidRPr="00E0354F">
        <w:rPr>
          <w:rFonts w:cstheme="minorHAnsi"/>
        </w:rPr>
        <w:t xml:space="preserve">A </w:t>
      </w:r>
      <w:r w:rsidR="00DE164A" w:rsidRPr="00E0354F">
        <w:rPr>
          <w:rFonts w:cstheme="minorHAnsi"/>
        </w:rPr>
        <w:t>employee</w:t>
      </w:r>
      <w:r w:rsidRPr="00E0354F">
        <w:rPr>
          <w:rFonts w:cstheme="minorHAnsi"/>
        </w:rPr>
        <w:t xml:space="preserve"> who makes a disclosure and has a reasonable belief of wrongdoing will not be penalised by </w:t>
      </w:r>
      <w:r w:rsidR="00C84771" w:rsidRPr="00E0354F">
        <w:rPr>
          <w:rFonts w:cstheme="minorHAnsi"/>
        </w:rPr>
        <w:t xml:space="preserve">the </w:t>
      </w:r>
      <w:r w:rsidRPr="00E0354F">
        <w:rPr>
          <w:rFonts w:cstheme="minorHAnsi"/>
        </w:rPr>
        <w:t>Company, even if the concerns of disclosure turn out to be unfounded.</w:t>
      </w:r>
      <w:r w:rsidR="00050491" w:rsidRPr="00E0354F">
        <w:rPr>
          <w:rFonts w:cstheme="minorHAnsi"/>
        </w:rPr>
        <w:t xml:space="preserve"> </w:t>
      </w:r>
      <w:r w:rsidR="00870EB8" w:rsidRPr="00E0354F">
        <w:rPr>
          <w:rFonts w:cstheme="minorHAnsi"/>
        </w:rPr>
        <w:t xml:space="preserve">The Company will not penalise or threaten </w:t>
      </w:r>
      <w:r w:rsidR="00050491" w:rsidRPr="00E0354F">
        <w:rPr>
          <w:rFonts w:cstheme="minorHAnsi"/>
        </w:rPr>
        <w:t xml:space="preserve">to penalise an employee for having made a protected disclosure.  Penalisation is defined </w:t>
      </w:r>
      <w:r w:rsidR="00216F8C" w:rsidRPr="00E0354F">
        <w:rPr>
          <w:rFonts w:cstheme="minorHAnsi"/>
        </w:rPr>
        <w:t xml:space="preserve">by the Act </w:t>
      </w:r>
      <w:r w:rsidR="00050491" w:rsidRPr="00E0354F">
        <w:rPr>
          <w:rFonts w:cstheme="minorHAnsi"/>
        </w:rPr>
        <w:t xml:space="preserve">as any direct or indirect act or omission which occurs in a work-related context, is prompted by the making of a report and causes or may cause unjustified detriment to </w:t>
      </w:r>
      <w:proofErr w:type="spellStart"/>
      <w:r w:rsidR="00050491" w:rsidRPr="00E0354F">
        <w:rPr>
          <w:rFonts w:cstheme="minorHAnsi"/>
        </w:rPr>
        <w:t>a</w:t>
      </w:r>
      <w:proofErr w:type="spellEnd"/>
      <w:r w:rsidR="00050491" w:rsidRPr="00E0354F">
        <w:rPr>
          <w:rFonts w:cstheme="minorHAnsi"/>
        </w:rPr>
        <w:t xml:space="preserve"> </w:t>
      </w:r>
      <w:r w:rsidR="00DE164A" w:rsidRPr="00E0354F">
        <w:rPr>
          <w:rFonts w:cstheme="minorHAnsi"/>
        </w:rPr>
        <w:t>employee</w:t>
      </w:r>
      <w:r w:rsidR="00050491" w:rsidRPr="00E0354F">
        <w:rPr>
          <w:rFonts w:cstheme="minorHAnsi"/>
        </w:rPr>
        <w:t>, and includes:</w:t>
      </w:r>
    </w:p>
    <w:p w14:paraId="435C37D5"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suspension, lay-off or dismissal;</w:t>
      </w:r>
    </w:p>
    <w:p w14:paraId="43D6B042"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demotion, loss of opportunity for promotion or withholding of promotion;</w:t>
      </w:r>
    </w:p>
    <w:p w14:paraId="1E34B190"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transfer of duties, change of location or place of work, reduction in wages or change in working hours;</w:t>
      </w:r>
    </w:p>
    <w:p w14:paraId="668CB621"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the imposition or administering of any discipline, reprimand or other penalty (including a financial penalty);</w:t>
      </w:r>
    </w:p>
    <w:p w14:paraId="3F340181"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coercion, intimidation, harassment or ostracism;</w:t>
      </w:r>
    </w:p>
    <w:p w14:paraId="492A92D2"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lastRenderedPageBreak/>
        <w:t>discrimination, disadvantage or unfair treatment;</w:t>
      </w:r>
    </w:p>
    <w:p w14:paraId="014F5DC8"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injury, damage or loss;</w:t>
      </w:r>
    </w:p>
    <w:p w14:paraId="5CCD6CD0"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threat of reprisal;</w:t>
      </w:r>
    </w:p>
    <w:p w14:paraId="4FD45961"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withholding of training;</w:t>
      </w:r>
    </w:p>
    <w:p w14:paraId="2075C02C"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a negative performance assessment or employment reference;</w:t>
      </w:r>
    </w:p>
    <w:p w14:paraId="605A1AF8" w14:textId="20D6DBE0"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 xml:space="preserve">failing to convert a temporary employment contract into a permanent one, where the </w:t>
      </w:r>
      <w:r w:rsidR="00DE164A" w:rsidRPr="00E0354F">
        <w:rPr>
          <w:rFonts w:eastAsia="Times New Roman" w:cstheme="minorHAnsi"/>
          <w:lang w:val="en-US" w:eastAsia="en-US"/>
        </w:rPr>
        <w:t>employee</w:t>
      </w:r>
      <w:r w:rsidRPr="00E0354F">
        <w:rPr>
          <w:rFonts w:eastAsia="Times New Roman" w:cstheme="minorHAnsi"/>
          <w:lang w:val="en-US" w:eastAsia="en-US"/>
        </w:rPr>
        <w:t xml:space="preserve"> had a legitimate expectation that they would be offered permanent employment;</w:t>
      </w:r>
    </w:p>
    <w:p w14:paraId="7BC984C4"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failing to renew or early termination of a temporary employment contract;</w:t>
      </w:r>
    </w:p>
    <w:p w14:paraId="7CF749E3" w14:textId="267523DE"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 xml:space="preserve">harm, including to the </w:t>
      </w:r>
      <w:r w:rsidR="00DE164A" w:rsidRPr="00E0354F">
        <w:rPr>
          <w:rFonts w:eastAsia="Times New Roman" w:cstheme="minorHAnsi"/>
          <w:lang w:val="en-US" w:eastAsia="en-US"/>
        </w:rPr>
        <w:t>employee</w:t>
      </w:r>
      <w:r w:rsidRPr="00E0354F">
        <w:rPr>
          <w:rFonts w:eastAsia="Times New Roman" w:cstheme="minorHAnsi"/>
          <w:lang w:val="en-US" w:eastAsia="en-US"/>
        </w:rPr>
        <w:t>’s reputation, particularly on social media, or financial loss, including loss of business and loss of income;</w:t>
      </w:r>
    </w:p>
    <w:p w14:paraId="35DA7EE1"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blacklisting on the basis of a sector or industry-wide informal or formal agreement, which may entail that the person will not, in the future, find employment in the sector or industry;</w:t>
      </w:r>
    </w:p>
    <w:p w14:paraId="1A42497E"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early termination or cancellation of a contract for goods or services;</w:t>
      </w:r>
    </w:p>
    <w:p w14:paraId="7C0A32BF" w14:textId="3A6618D6"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cancellation of a license or permit; and</w:t>
      </w:r>
    </w:p>
    <w:p w14:paraId="2E49D0A2" w14:textId="77777777" w:rsidR="00305A3D" w:rsidRPr="00E0354F" w:rsidRDefault="00305A3D" w:rsidP="00305A3D">
      <w:pPr>
        <w:numPr>
          <w:ilvl w:val="0"/>
          <w:numId w:val="15"/>
        </w:numPr>
        <w:shd w:val="clear" w:color="auto" w:fill="FFFFFF"/>
        <w:spacing w:before="100" w:beforeAutospacing="1" w:after="100" w:afterAutospacing="1" w:line="240" w:lineRule="auto"/>
        <w:rPr>
          <w:rFonts w:eastAsia="Times New Roman" w:cstheme="minorHAnsi"/>
          <w:lang w:val="en-US" w:eastAsia="en-US"/>
        </w:rPr>
      </w:pPr>
      <w:r w:rsidRPr="00E0354F">
        <w:rPr>
          <w:rFonts w:eastAsia="Times New Roman" w:cstheme="minorHAnsi"/>
          <w:lang w:val="en-US" w:eastAsia="en-US"/>
        </w:rPr>
        <w:t>psychiatric or medical referrals.</w:t>
      </w:r>
    </w:p>
    <w:p w14:paraId="70E916F8" w14:textId="31A506AA" w:rsidR="000A0622" w:rsidRPr="00E0354F" w:rsidRDefault="000A0622" w:rsidP="00853A33">
      <w:pPr>
        <w:jc w:val="both"/>
        <w:rPr>
          <w:rFonts w:cstheme="minorHAnsi"/>
        </w:rPr>
      </w:pPr>
      <w:r w:rsidRPr="00E0354F">
        <w:rPr>
          <w:rFonts w:cstheme="minorHAnsi"/>
        </w:rPr>
        <w:t xml:space="preserve">If you believe you are being penalised for making a disclosure under this procedure you should inform </w:t>
      </w:r>
      <w:r w:rsidR="002C5769" w:rsidRPr="00E0354F">
        <w:rPr>
          <w:rFonts w:cstheme="minorHAnsi"/>
        </w:rPr>
        <w:t>the Designated Person</w:t>
      </w:r>
      <w:r w:rsidR="000074A1" w:rsidRPr="00E0354F">
        <w:rPr>
          <w:rFonts w:cstheme="minorHAnsi"/>
        </w:rPr>
        <w:t xml:space="preserve"> or a member of management immediately.</w:t>
      </w:r>
      <w:r w:rsidR="00C04361" w:rsidRPr="00E0354F">
        <w:rPr>
          <w:rFonts w:cstheme="minorHAnsi"/>
        </w:rPr>
        <w:t xml:space="preserve"> It is their responsibility to action the necessary steps in response to this complaint. </w:t>
      </w:r>
    </w:p>
    <w:p w14:paraId="2ED52AB4" w14:textId="77777777" w:rsidR="000F04E4" w:rsidRPr="00E0354F" w:rsidRDefault="00922C28" w:rsidP="00853A33">
      <w:pPr>
        <w:jc w:val="both"/>
        <w:rPr>
          <w:rFonts w:cstheme="minorHAnsi"/>
        </w:rPr>
      </w:pPr>
      <w:r w:rsidRPr="00E0354F">
        <w:rPr>
          <w:rFonts w:cstheme="minorHAnsi"/>
        </w:rPr>
        <w:t>Disclosures raised will be treated seriously. Disclosures must be raised in good faith</w:t>
      </w:r>
      <w:r w:rsidR="00933A05" w:rsidRPr="00E0354F">
        <w:rPr>
          <w:rFonts w:cstheme="minorHAnsi"/>
        </w:rPr>
        <w:t xml:space="preserve"> and if the </w:t>
      </w:r>
      <w:r w:rsidRPr="00E0354F">
        <w:rPr>
          <w:rFonts w:cstheme="minorHAnsi"/>
        </w:rPr>
        <w:t xml:space="preserve">information is subsequently proved to be incorrect, </w:t>
      </w:r>
      <w:r w:rsidR="00933A05" w:rsidRPr="00E0354F">
        <w:rPr>
          <w:rFonts w:cstheme="minorHAnsi"/>
        </w:rPr>
        <w:t>the employee in question is</w:t>
      </w:r>
      <w:r w:rsidRPr="00E0354F">
        <w:rPr>
          <w:rFonts w:cstheme="minorHAnsi"/>
        </w:rPr>
        <w:t xml:space="preserve"> still protected and will not suffer any adverse reaction, provided they had a reasonable belief in the information set out in the disclosure.  </w:t>
      </w:r>
    </w:p>
    <w:p w14:paraId="3923109F" w14:textId="1D186E9A" w:rsidR="000A0622" w:rsidRPr="00E0354F" w:rsidRDefault="00DE164A" w:rsidP="005E4870">
      <w:pPr>
        <w:pStyle w:val="NoSpacing"/>
        <w:rPr>
          <w:rFonts w:cstheme="minorHAnsi"/>
        </w:rPr>
      </w:pPr>
      <w:r w:rsidRPr="00E0354F">
        <w:rPr>
          <w:rFonts w:cstheme="minorHAnsi"/>
        </w:rPr>
        <w:t>Employee</w:t>
      </w:r>
      <w:r w:rsidR="000A0622" w:rsidRPr="00E0354F">
        <w:rPr>
          <w:rFonts w:cstheme="minorHAnsi"/>
        </w:rPr>
        <w:t>s who penalise those who have raised concerns under this policy will be subject to appropriate disciplinary action.</w:t>
      </w:r>
    </w:p>
    <w:p w14:paraId="1141663A" w14:textId="77777777" w:rsidR="000A0622" w:rsidRPr="00E0354F" w:rsidRDefault="000A0622" w:rsidP="005E4870">
      <w:pPr>
        <w:pStyle w:val="NoSpacing"/>
        <w:rPr>
          <w:rFonts w:cstheme="minorHAnsi"/>
        </w:rPr>
      </w:pPr>
    </w:p>
    <w:p w14:paraId="0B811CD3" w14:textId="5D47FA81" w:rsidR="00CF66A6" w:rsidRPr="00E0354F" w:rsidRDefault="000A0622" w:rsidP="000F04E4">
      <w:pPr>
        <w:jc w:val="both"/>
        <w:rPr>
          <w:rFonts w:cstheme="minorHAnsi"/>
        </w:rPr>
      </w:pPr>
      <w:r w:rsidRPr="00E0354F">
        <w:rPr>
          <w:rFonts w:cstheme="minorHAnsi"/>
        </w:rPr>
        <w:t xml:space="preserve">While </w:t>
      </w:r>
      <w:r w:rsidR="00DE164A" w:rsidRPr="00E0354F">
        <w:rPr>
          <w:rFonts w:cstheme="minorHAnsi"/>
        </w:rPr>
        <w:t>employee</w:t>
      </w:r>
      <w:r w:rsidRPr="00E0354F">
        <w:rPr>
          <w:rFonts w:cstheme="minorHAnsi"/>
        </w:rPr>
        <w:t xml:space="preserve">s are not expected to prove the truth of the allegation, they must have a reasonable belief that there are grounds for their concern.  </w:t>
      </w:r>
      <w:r w:rsidR="000F04E4" w:rsidRPr="00E0354F">
        <w:rPr>
          <w:rFonts w:cstheme="minorHAnsi"/>
        </w:rPr>
        <w:t xml:space="preserve">This Policy may not be used to raise any concerns containing information that the </w:t>
      </w:r>
      <w:r w:rsidR="00823812" w:rsidRPr="00E0354F">
        <w:rPr>
          <w:rFonts w:cstheme="minorHAnsi"/>
        </w:rPr>
        <w:t>employee</w:t>
      </w:r>
      <w:r w:rsidR="000F04E4" w:rsidRPr="00E0354F">
        <w:rPr>
          <w:rFonts w:cstheme="minorHAnsi"/>
        </w:rPr>
        <w:t xml:space="preserve"> knows is incorrect. </w:t>
      </w:r>
      <w:r w:rsidRPr="00E0354F">
        <w:rPr>
          <w:rFonts w:cstheme="minorHAnsi"/>
        </w:rPr>
        <w:t xml:space="preserve">Appropriate disciplinary action may be taken against any </w:t>
      </w:r>
      <w:r w:rsidR="00DE164A" w:rsidRPr="00E0354F">
        <w:rPr>
          <w:rFonts w:cstheme="minorHAnsi"/>
        </w:rPr>
        <w:t>employee</w:t>
      </w:r>
      <w:r w:rsidRPr="00E0354F">
        <w:rPr>
          <w:rFonts w:cstheme="minorHAnsi"/>
        </w:rPr>
        <w:t xml:space="preserve"> who is found to have raised a concern with malicious intent.</w:t>
      </w:r>
      <w:bookmarkEnd w:id="0"/>
    </w:p>
    <w:sectPr w:rsidR="00CF66A6" w:rsidRPr="00E0354F" w:rsidSect="002873E6">
      <w:headerReference w:type="default" r:id="rId8"/>
      <w:footerReference w:type="default" r:id="rId9"/>
      <w:pgSz w:w="12240" w:h="15840"/>
      <w:pgMar w:top="1134" w:right="1440" w:bottom="568"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441EA" w14:textId="77777777" w:rsidR="00DD019D" w:rsidRDefault="00DD019D" w:rsidP="00144923">
      <w:pPr>
        <w:spacing w:after="0" w:line="240" w:lineRule="auto"/>
      </w:pPr>
      <w:r>
        <w:separator/>
      </w:r>
    </w:p>
  </w:endnote>
  <w:endnote w:type="continuationSeparator" w:id="0">
    <w:p w14:paraId="16F8F7EC" w14:textId="77777777" w:rsidR="00DD019D" w:rsidRDefault="00DD019D" w:rsidP="001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AE37" w14:textId="31D12EC4" w:rsidR="00144923" w:rsidRDefault="00144923">
    <w:pPr>
      <w:pStyle w:val="Footer"/>
      <w:jc w:val="right"/>
    </w:pPr>
  </w:p>
  <w:p w14:paraId="606B36D1" w14:textId="77777777" w:rsidR="00144923" w:rsidRDefault="0014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D717" w14:textId="77777777" w:rsidR="00DD019D" w:rsidRDefault="00DD019D" w:rsidP="00144923">
      <w:pPr>
        <w:spacing w:after="0" w:line="240" w:lineRule="auto"/>
      </w:pPr>
      <w:r>
        <w:separator/>
      </w:r>
    </w:p>
  </w:footnote>
  <w:footnote w:type="continuationSeparator" w:id="0">
    <w:p w14:paraId="2CF1DC1D" w14:textId="77777777" w:rsidR="00DD019D" w:rsidRDefault="00DD019D" w:rsidP="0014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8640282"/>
  <w:bookmarkStart w:id="3" w:name="_Hlk8640283"/>
  <w:bookmarkStart w:id="4" w:name="_Hlk8640301"/>
  <w:bookmarkStart w:id="5" w:name="_Hlk8640302"/>
  <w:bookmarkStart w:id="6" w:name="_Hlk8640315"/>
  <w:bookmarkStart w:id="7" w:name="_Hlk8640316"/>
  <w:bookmarkStart w:id="8" w:name="_Hlk8640324"/>
  <w:bookmarkStart w:id="9" w:name="_Hlk8640325"/>
  <w:bookmarkStart w:id="10" w:name="_Hlk8640334"/>
  <w:bookmarkStart w:id="11" w:name="_Hlk8640335"/>
  <w:bookmarkStart w:id="12" w:name="_Hlk8640343"/>
  <w:bookmarkStart w:id="13" w:name="_Hlk8640344"/>
  <w:bookmarkStart w:id="14" w:name="_Hlk8640352"/>
  <w:bookmarkStart w:id="15" w:name="_Hlk8640353"/>
  <w:bookmarkStart w:id="16" w:name="_Hlk8640375"/>
  <w:bookmarkStart w:id="17" w:name="_Hlk8640376"/>
  <w:bookmarkStart w:id="18" w:name="_Hlk8640420"/>
  <w:bookmarkStart w:id="19" w:name="_Hlk8640421"/>
  <w:bookmarkStart w:id="20" w:name="_Hlk8640432"/>
  <w:bookmarkStart w:id="21" w:name="_Hlk8640433"/>
  <w:bookmarkStart w:id="22" w:name="_Hlk8640440"/>
  <w:bookmarkStart w:id="23" w:name="_Hlk8640441"/>
  <w:bookmarkStart w:id="24" w:name="_Hlk8640468"/>
  <w:bookmarkStart w:id="25" w:name="_Hlk8640469"/>
  <w:bookmarkStart w:id="26" w:name="_Hlk8640470"/>
  <w:bookmarkStart w:id="27" w:name="_Hlk8640471"/>
  <w:bookmarkStart w:id="28" w:name="_Hlk8640497"/>
  <w:bookmarkStart w:id="29" w:name="_Hlk8640498"/>
  <w:bookmarkStart w:id="30" w:name="_Hlk8642958"/>
  <w:bookmarkStart w:id="31" w:name="_Hlk8642959"/>
  <w:bookmarkStart w:id="32" w:name="_Hlk8643056"/>
  <w:bookmarkStart w:id="33" w:name="_Hlk8643057"/>
  <w:bookmarkStart w:id="34" w:name="_Hlk8643070"/>
  <w:bookmarkStart w:id="35" w:name="_Hlk8643071"/>
  <w:bookmarkStart w:id="36" w:name="_Hlk8643096"/>
  <w:bookmarkStart w:id="37" w:name="_Hlk8643097"/>
  <w:bookmarkStart w:id="38" w:name="_Hlk8643660"/>
  <w:bookmarkStart w:id="39" w:name="_Hlk8643661"/>
  <w:bookmarkStart w:id="40" w:name="_Hlk8644029"/>
  <w:bookmarkStart w:id="41" w:name="_Hlk8644030"/>
  <w:bookmarkStart w:id="42" w:name="_Hlk8644042"/>
  <w:bookmarkStart w:id="43" w:name="_Hlk8644043"/>
  <w:bookmarkStart w:id="44" w:name="_Hlk8644228"/>
  <w:bookmarkStart w:id="45" w:name="_Hlk8644229"/>
  <w:bookmarkStart w:id="46" w:name="_Hlk8644240"/>
  <w:bookmarkStart w:id="47" w:name="_Hlk8644241"/>
  <w:bookmarkStart w:id="48" w:name="_Hlk8644242"/>
  <w:bookmarkStart w:id="49" w:name="_Hlk8644243"/>
  <w:bookmarkStart w:id="50" w:name="_Hlk8644264"/>
  <w:bookmarkStart w:id="51" w:name="_Hlk8644265"/>
  <w:bookmarkStart w:id="52" w:name="_Hlk8644268"/>
  <w:bookmarkStart w:id="53" w:name="_Hlk8644269"/>
  <w:bookmarkStart w:id="54" w:name="_Hlk8644270"/>
  <w:bookmarkStart w:id="55" w:name="_Hlk8644271"/>
  <w:bookmarkStart w:id="56" w:name="_Hlk8644272"/>
  <w:bookmarkStart w:id="57" w:name="_Hlk8644273"/>
  <w:bookmarkStart w:id="58" w:name="_Hlk8644274"/>
  <w:bookmarkStart w:id="59" w:name="_Hlk8644275"/>
  <w:bookmarkStart w:id="60" w:name="_Hlk8644276"/>
  <w:bookmarkStart w:id="61" w:name="_Hlk8644277"/>
  <w:bookmarkStart w:id="62" w:name="_Hlk8644278"/>
  <w:bookmarkStart w:id="63" w:name="_Hlk8644279"/>
  <w:bookmarkStart w:id="64" w:name="_Hlk8644280"/>
  <w:bookmarkStart w:id="65" w:name="_Hlk8644281"/>
  <w:bookmarkStart w:id="66" w:name="_Hlk8644301"/>
  <w:bookmarkStart w:id="67" w:name="_Hlk8644302"/>
  <w:bookmarkStart w:id="68" w:name="_Hlk8644304"/>
  <w:bookmarkStart w:id="69" w:name="_Hlk8644305"/>
  <w:bookmarkStart w:id="70" w:name="_Hlk8644306"/>
  <w:bookmarkStart w:id="71" w:name="_Hlk8644307"/>
  <w:bookmarkStart w:id="72" w:name="_Hlk8644310"/>
  <w:bookmarkStart w:id="73" w:name="_Hlk8644311"/>
  <w:bookmarkStart w:id="74" w:name="_Hlk8644323"/>
  <w:bookmarkStart w:id="75" w:name="_Hlk8644324"/>
  <w:bookmarkStart w:id="76" w:name="_Hlk8644347"/>
  <w:bookmarkStart w:id="77" w:name="_Hlk8644348"/>
  <w:bookmarkStart w:id="78" w:name="_Hlk8644349"/>
  <w:bookmarkStart w:id="79" w:name="_Hlk8644350"/>
  <w:bookmarkStart w:id="80" w:name="_Hlk8644367"/>
  <w:bookmarkStart w:id="81" w:name="_Hlk8644368"/>
  <w:bookmarkStart w:id="82" w:name="_Hlk8650807"/>
  <w:bookmarkStart w:id="83" w:name="_Hlk8650808"/>
  <w:bookmarkStart w:id="84" w:name="_Hlk8650812"/>
  <w:bookmarkStart w:id="85" w:name="_Hlk8650813"/>
  <w:bookmarkStart w:id="86" w:name="_Hlk8650815"/>
  <w:bookmarkStart w:id="87" w:name="_Hlk8650816"/>
  <w:bookmarkStart w:id="88" w:name="_Hlk8650845"/>
  <w:bookmarkStart w:id="89" w:name="_Hlk8650846"/>
  <w:bookmarkStart w:id="90" w:name="_Hlk8650847"/>
  <w:bookmarkStart w:id="91" w:name="_Hlk8650848"/>
  <w:bookmarkStart w:id="92" w:name="_Hlk8650849"/>
  <w:bookmarkStart w:id="93" w:name="_Hlk8650850"/>
  <w:bookmarkStart w:id="94" w:name="_Hlk8650856"/>
  <w:bookmarkStart w:id="95" w:name="_Hlk8650857"/>
  <w:bookmarkStart w:id="96" w:name="_Hlk8650867"/>
  <w:bookmarkStart w:id="97" w:name="_Hlk8650868"/>
  <w:bookmarkStart w:id="98" w:name="_Hlk8650886"/>
  <w:bookmarkStart w:id="99" w:name="_Hlk8650887"/>
  <w:bookmarkStart w:id="100" w:name="_Hlk8650897"/>
  <w:bookmarkStart w:id="101" w:name="_Hlk8650898"/>
  <w:bookmarkStart w:id="102" w:name="_Hlk8650905"/>
  <w:bookmarkStart w:id="103" w:name="_Hlk8650906"/>
  <w:bookmarkStart w:id="104" w:name="_Hlk8651491"/>
  <w:bookmarkStart w:id="105" w:name="_Hlk8651492"/>
  <w:p w14:paraId="13E854E8" w14:textId="42D0AD86" w:rsidR="005E4870" w:rsidRPr="00F055BC" w:rsidRDefault="00E135C6" w:rsidP="005E4870">
    <w:r>
      <w:rPr>
        <w:noProof/>
      </w:rPr>
      <mc:AlternateContent>
        <mc:Choice Requires="wps">
          <w:drawing>
            <wp:anchor distT="0" distB="0" distL="114300" distR="114300" simplePos="0" relativeHeight="251657216" behindDoc="0" locked="0" layoutInCell="1" allowOverlap="1" wp14:anchorId="530E0FE9" wp14:editId="3B581FEA">
              <wp:simplePos x="0" y="0"/>
              <wp:positionH relativeFrom="page">
                <wp:posOffset>0</wp:posOffset>
              </wp:positionH>
              <wp:positionV relativeFrom="paragraph">
                <wp:posOffset>-97790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36474C50" w14:textId="77777777" w:rsidR="005E4870" w:rsidRPr="00685029" w:rsidRDefault="005E4870" w:rsidP="005E487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E0FE9" id="_x0000_t202" coordsize="21600,21600" o:spt="202" path="m,l,21600r21600,l21600,xe">
              <v:stroke joinstyle="miter"/>
              <v:path gradientshapeok="t" o:connecttype="rect"/>
            </v:shapetype>
            <v:shape id="Text Box 2" o:spid="_x0000_s1026" type="#_x0000_t202" style="position:absolute;margin-left:0;margin-top:-7.7pt;width:178.5pt;height:2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" fillcolor="#c00000" strokecolor="#c00000">
              <v:textbox>
                <w:txbxContent>
                  <w:p w14:paraId="36474C50" w14:textId="77777777" w:rsidR="005E4870" w:rsidRPr="00685029" w:rsidRDefault="005E4870" w:rsidP="005E487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1312" behindDoc="1" locked="0" layoutInCell="1" allowOverlap="1" wp14:anchorId="5E68B6C8" wp14:editId="5C8FBE67">
          <wp:simplePos x="0" y="0"/>
          <wp:positionH relativeFrom="column">
            <wp:posOffset>5162550</wp:posOffset>
          </wp:positionH>
          <wp:positionV relativeFrom="paragraph">
            <wp:posOffset>-182880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E819495" w14:textId="77777777" w:rsidR="005E4870" w:rsidRDefault="005E4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5489"/>
    <w:multiLevelType w:val="hybridMultilevel"/>
    <w:tmpl w:val="A00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95BC4"/>
    <w:multiLevelType w:val="hybridMultilevel"/>
    <w:tmpl w:val="753C00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B76691"/>
    <w:multiLevelType w:val="hybridMultilevel"/>
    <w:tmpl w:val="06346C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612CD7"/>
    <w:multiLevelType w:val="hybridMultilevel"/>
    <w:tmpl w:val="F98AD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197E82"/>
    <w:multiLevelType w:val="hybridMultilevel"/>
    <w:tmpl w:val="0B08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C6F9C"/>
    <w:multiLevelType w:val="multilevel"/>
    <w:tmpl w:val="046C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D7FBA"/>
    <w:multiLevelType w:val="hybridMultilevel"/>
    <w:tmpl w:val="BFA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62CFF"/>
    <w:multiLevelType w:val="hybridMultilevel"/>
    <w:tmpl w:val="C93A3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F14B01"/>
    <w:multiLevelType w:val="multilevel"/>
    <w:tmpl w:val="613E0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C73A2"/>
    <w:multiLevelType w:val="hybridMultilevel"/>
    <w:tmpl w:val="C8C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D101E"/>
    <w:multiLevelType w:val="hybridMultilevel"/>
    <w:tmpl w:val="FEBE876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60D7163"/>
    <w:multiLevelType w:val="multilevel"/>
    <w:tmpl w:val="650E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B1A81"/>
    <w:multiLevelType w:val="hybridMultilevel"/>
    <w:tmpl w:val="84CCE8A4"/>
    <w:lvl w:ilvl="0" w:tplc="6B22530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C2A5D21"/>
    <w:multiLevelType w:val="hybridMultilevel"/>
    <w:tmpl w:val="11B4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C0DB4"/>
    <w:multiLevelType w:val="hybridMultilevel"/>
    <w:tmpl w:val="987A0BC4"/>
    <w:lvl w:ilvl="0" w:tplc="18090001">
      <w:start w:val="1"/>
      <w:numFmt w:val="bullet"/>
      <w:lvlText w:val=""/>
      <w:lvlJc w:val="left"/>
      <w:pPr>
        <w:ind w:left="720" w:hanging="360"/>
      </w:pPr>
      <w:rPr>
        <w:rFonts w:ascii="Symbol" w:hAnsi="Symbol" w:hint="default"/>
      </w:rPr>
    </w:lvl>
    <w:lvl w:ilvl="1" w:tplc="DFB233F0">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E874315"/>
    <w:multiLevelType w:val="multilevel"/>
    <w:tmpl w:val="5F16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199222">
    <w:abstractNumId w:val="15"/>
  </w:num>
  <w:num w:numId="2" w16cid:durableId="2068525391">
    <w:abstractNumId w:val="8"/>
  </w:num>
  <w:num w:numId="3" w16cid:durableId="194925387">
    <w:abstractNumId w:val="6"/>
  </w:num>
  <w:num w:numId="4" w16cid:durableId="1664359955">
    <w:abstractNumId w:val="0"/>
  </w:num>
  <w:num w:numId="5" w16cid:durableId="43214722">
    <w:abstractNumId w:val="4"/>
  </w:num>
  <w:num w:numId="6" w16cid:durableId="86539326">
    <w:abstractNumId w:val="9"/>
  </w:num>
  <w:num w:numId="7" w16cid:durableId="1885213636">
    <w:abstractNumId w:val="12"/>
  </w:num>
  <w:num w:numId="8" w16cid:durableId="847791528">
    <w:abstractNumId w:val="2"/>
  </w:num>
  <w:num w:numId="9" w16cid:durableId="398751124">
    <w:abstractNumId w:val="3"/>
  </w:num>
  <w:num w:numId="10" w16cid:durableId="88355262">
    <w:abstractNumId w:val="11"/>
  </w:num>
  <w:num w:numId="11" w16cid:durableId="1872380548">
    <w:abstractNumId w:val="14"/>
  </w:num>
  <w:num w:numId="12" w16cid:durableId="1871449995">
    <w:abstractNumId w:val="7"/>
  </w:num>
  <w:num w:numId="13" w16cid:durableId="2093966875">
    <w:abstractNumId w:val="13"/>
  </w:num>
  <w:num w:numId="14" w16cid:durableId="2000301860">
    <w:abstractNumId w:val="10"/>
  </w:num>
  <w:num w:numId="15" w16cid:durableId="629283960">
    <w:abstractNumId w:val="5"/>
  </w:num>
  <w:num w:numId="16" w16cid:durableId="50844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53"/>
    <w:rsid w:val="000074A1"/>
    <w:rsid w:val="0004427B"/>
    <w:rsid w:val="00050491"/>
    <w:rsid w:val="00063603"/>
    <w:rsid w:val="00065876"/>
    <w:rsid w:val="00073538"/>
    <w:rsid w:val="00074384"/>
    <w:rsid w:val="00090644"/>
    <w:rsid w:val="000A0622"/>
    <w:rsid w:val="000D20B9"/>
    <w:rsid w:val="000E5439"/>
    <w:rsid w:val="000F04E4"/>
    <w:rsid w:val="001021A6"/>
    <w:rsid w:val="0012576E"/>
    <w:rsid w:val="00144923"/>
    <w:rsid w:val="0017732C"/>
    <w:rsid w:val="00182FAF"/>
    <w:rsid w:val="00184CF4"/>
    <w:rsid w:val="001A12D8"/>
    <w:rsid w:val="001B1A09"/>
    <w:rsid w:val="001B7398"/>
    <w:rsid w:val="001D5143"/>
    <w:rsid w:val="001E6E51"/>
    <w:rsid w:val="001F2324"/>
    <w:rsid w:val="001F4618"/>
    <w:rsid w:val="00216F8C"/>
    <w:rsid w:val="00217966"/>
    <w:rsid w:val="0022188F"/>
    <w:rsid w:val="00251254"/>
    <w:rsid w:val="00264C2F"/>
    <w:rsid w:val="00271569"/>
    <w:rsid w:val="00281059"/>
    <w:rsid w:val="002873E6"/>
    <w:rsid w:val="002C47B0"/>
    <w:rsid w:val="002C5769"/>
    <w:rsid w:val="002F7B6A"/>
    <w:rsid w:val="00305A3D"/>
    <w:rsid w:val="003200B3"/>
    <w:rsid w:val="00344847"/>
    <w:rsid w:val="00356269"/>
    <w:rsid w:val="0038201B"/>
    <w:rsid w:val="003972DE"/>
    <w:rsid w:val="003A303F"/>
    <w:rsid w:val="003E5612"/>
    <w:rsid w:val="003F78F2"/>
    <w:rsid w:val="004274B3"/>
    <w:rsid w:val="00446D45"/>
    <w:rsid w:val="0044775F"/>
    <w:rsid w:val="00453EBF"/>
    <w:rsid w:val="00476453"/>
    <w:rsid w:val="00482508"/>
    <w:rsid w:val="004A296C"/>
    <w:rsid w:val="005143C0"/>
    <w:rsid w:val="00517B8F"/>
    <w:rsid w:val="00527C51"/>
    <w:rsid w:val="0053215A"/>
    <w:rsid w:val="00573619"/>
    <w:rsid w:val="00577E38"/>
    <w:rsid w:val="005A77CA"/>
    <w:rsid w:val="005D003C"/>
    <w:rsid w:val="005E4870"/>
    <w:rsid w:val="005E7AF6"/>
    <w:rsid w:val="00661EB1"/>
    <w:rsid w:val="00662C83"/>
    <w:rsid w:val="006805D5"/>
    <w:rsid w:val="006B774E"/>
    <w:rsid w:val="006F5E2D"/>
    <w:rsid w:val="00717564"/>
    <w:rsid w:val="00727A12"/>
    <w:rsid w:val="00766796"/>
    <w:rsid w:val="00795753"/>
    <w:rsid w:val="007D431C"/>
    <w:rsid w:val="007D4DF9"/>
    <w:rsid w:val="0080580C"/>
    <w:rsid w:val="00816D90"/>
    <w:rsid w:val="00823812"/>
    <w:rsid w:val="008275F7"/>
    <w:rsid w:val="00827DB9"/>
    <w:rsid w:val="00837E0E"/>
    <w:rsid w:val="00852473"/>
    <w:rsid w:val="00853A33"/>
    <w:rsid w:val="008611B1"/>
    <w:rsid w:val="00870EB8"/>
    <w:rsid w:val="00887087"/>
    <w:rsid w:val="00893A64"/>
    <w:rsid w:val="008A01E2"/>
    <w:rsid w:val="008A717F"/>
    <w:rsid w:val="008B764F"/>
    <w:rsid w:val="008C21F6"/>
    <w:rsid w:val="008E5D59"/>
    <w:rsid w:val="008F2887"/>
    <w:rsid w:val="0091664B"/>
    <w:rsid w:val="00922C28"/>
    <w:rsid w:val="00924C08"/>
    <w:rsid w:val="00933A05"/>
    <w:rsid w:val="0096079E"/>
    <w:rsid w:val="00965431"/>
    <w:rsid w:val="00987A29"/>
    <w:rsid w:val="009B139F"/>
    <w:rsid w:val="009C5B94"/>
    <w:rsid w:val="009C7406"/>
    <w:rsid w:val="00A149C3"/>
    <w:rsid w:val="00A37BB6"/>
    <w:rsid w:val="00A648C7"/>
    <w:rsid w:val="00AB7A95"/>
    <w:rsid w:val="00AE67A3"/>
    <w:rsid w:val="00AE7094"/>
    <w:rsid w:val="00AF4BBC"/>
    <w:rsid w:val="00B519A0"/>
    <w:rsid w:val="00BA5BC7"/>
    <w:rsid w:val="00C04361"/>
    <w:rsid w:val="00C129D9"/>
    <w:rsid w:val="00C50ADC"/>
    <w:rsid w:val="00C84771"/>
    <w:rsid w:val="00CB1CD2"/>
    <w:rsid w:val="00CC6CC1"/>
    <w:rsid w:val="00CD5D24"/>
    <w:rsid w:val="00CE2D34"/>
    <w:rsid w:val="00CF252B"/>
    <w:rsid w:val="00CF66A6"/>
    <w:rsid w:val="00D0228E"/>
    <w:rsid w:val="00D15377"/>
    <w:rsid w:val="00D53496"/>
    <w:rsid w:val="00D71A61"/>
    <w:rsid w:val="00D825DC"/>
    <w:rsid w:val="00D86A7C"/>
    <w:rsid w:val="00DC39E8"/>
    <w:rsid w:val="00DD019D"/>
    <w:rsid w:val="00DE164A"/>
    <w:rsid w:val="00DE325E"/>
    <w:rsid w:val="00DF3266"/>
    <w:rsid w:val="00DF6F30"/>
    <w:rsid w:val="00DF72F6"/>
    <w:rsid w:val="00E01F02"/>
    <w:rsid w:val="00E0354F"/>
    <w:rsid w:val="00E135C6"/>
    <w:rsid w:val="00E35274"/>
    <w:rsid w:val="00E50642"/>
    <w:rsid w:val="00E825F0"/>
    <w:rsid w:val="00EA76D7"/>
    <w:rsid w:val="00EC4DD6"/>
    <w:rsid w:val="00EE27B3"/>
    <w:rsid w:val="00EF0897"/>
    <w:rsid w:val="00F1047C"/>
    <w:rsid w:val="00FA2F72"/>
    <w:rsid w:val="00FD540F"/>
    <w:rsid w:val="00FE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9C0EDC"/>
  <w15:docId w15:val="{FE71759F-53DC-4782-81A9-F8025348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53"/>
    <w:rPr>
      <w:rFonts w:ascii="Tahoma" w:hAnsi="Tahoma" w:cs="Tahoma"/>
      <w:sz w:val="16"/>
      <w:szCs w:val="16"/>
    </w:rPr>
  </w:style>
  <w:style w:type="character" w:customStyle="1" w:styleId="Heading1Char">
    <w:name w:val="Heading 1 Char"/>
    <w:basedOn w:val="DefaultParagraphFont"/>
    <w:link w:val="Heading1"/>
    <w:uiPriority w:val="9"/>
    <w:rsid w:val="00FE29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29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2964"/>
    <w:pPr>
      <w:spacing w:after="0" w:line="240" w:lineRule="auto"/>
    </w:pPr>
  </w:style>
  <w:style w:type="paragraph" w:styleId="Header">
    <w:name w:val="header"/>
    <w:basedOn w:val="Normal"/>
    <w:link w:val="HeaderChar"/>
    <w:uiPriority w:val="99"/>
    <w:unhideWhenUsed/>
    <w:rsid w:val="0014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23"/>
  </w:style>
  <w:style w:type="paragraph" w:styleId="Footer">
    <w:name w:val="footer"/>
    <w:basedOn w:val="Normal"/>
    <w:link w:val="FooterChar"/>
    <w:uiPriority w:val="99"/>
    <w:unhideWhenUsed/>
    <w:rsid w:val="0014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923"/>
  </w:style>
  <w:style w:type="paragraph" w:styleId="ListParagraph">
    <w:name w:val="List Paragraph"/>
    <w:basedOn w:val="Normal"/>
    <w:uiPriority w:val="34"/>
    <w:qFormat/>
    <w:rsid w:val="00CD5D24"/>
    <w:pPr>
      <w:spacing w:after="160" w:line="259" w:lineRule="auto"/>
      <w:ind w:left="720"/>
      <w:contextualSpacing/>
    </w:pPr>
    <w:rPr>
      <w:rFonts w:ascii="Calibri" w:eastAsia="Calibri" w:hAnsi="Calibri" w:cs="Times New Roman"/>
      <w:lang w:eastAsia="en-US"/>
    </w:rPr>
  </w:style>
  <w:style w:type="character" w:styleId="FootnoteReference">
    <w:name w:val="footnote reference"/>
    <w:basedOn w:val="DefaultParagraphFont"/>
    <w:uiPriority w:val="99"/>
    <w:semiHidden/>
    <w:unhideWhenUsed/>
    <w:rsid w:val="008C21F6"/>
    <w:rPr>
      <w:vertAlign w:val="superscript"/>
    </w:rPr>
  </w:style>
  <w:style w:type="character" w:customStyle="1" w:styleId="FootnoteTextChar">
    <w:name w:val="Footnote Text Char"/>
    <w:basedOn w:val="DefaultParagraphFont"/>
    <w:link w:val="FootnoteText"/>
    <w:uiPriority w:val="99"/>
    <w:semiHidden/>
    <w:rsid w:val="008C21F6"/>
    <w:rPr>
      <w:sz w:val="20"/>
      <w:szCs w:val="20"/>
    </w:rPr>
  </w:style>
  <w:style w:type="paragraph" w:styleId="FootnoteText">
    <w:name w:val="footnote text"/>
    <w:basedOn w:val="Normal"/>
    <w:link w:val="FootnoteTextChar"/>
    <w:uiPriority w:val="99"/>
    <w:semiHidden/>
    <w:unhideWhenUsed/>
    <w:rsid w:val="008C21F6"/>
    <w:pPr>
      <w:spacing w:after="0" w:line="240" w:lineRule="auto"/>
    </w:pPr>
    <w:rPr>
      <w:sz w:val="20"/>
      <w:szCs w:val="20"/>
    </w:rPr>
  </w:style>
  <w:style w:type="character" w:customStyle="1" w:styleId="FootnoteTextChar1">
    <w:name w:val="Footnote Text Char1"/>
    <w:basedOn w:val="DefaultParagraphFont"/>
    <w:uiPriority w:val="99"/>
    <w:semiHidden/>
    <w:rsid w:val="008C21F6"/>
    <w:rPr>
      <w:sz w:val="20"/>
      <w:szCs w:val="20"/>
    </w:rPr>
  </w:style>
  <w:style w:type="character" w:styleId="Hyperlink">
    <w:name w:val="Hyperlink"/>
    <w:basedOn w:val="DefaultParagraphFont"/>
    <w:uiPriority w:val="99"/>
    <w:unhideWhenUsed/>
    <w:rsid w:val="00EA76D7"/>
    <w:rPr>
      <w:color w:val="0000FF" w:themeColor="hyperlink"/>
      <w:u w:val="single"/>
    </w:rPr>
  </w:style>
  <w:style w:type="character" w:styleId="UnresolvedMention">
    <w:name w:val="Unresolved Mention"/>
    <w:basedOn w:val="DefaultParagraphFont"/>
    <w:uiPriority w:val="99"/>
    <w:semiHidden/>
    <w:unhideWhenUsed/>
    <w:rsid w:val="00EA7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1020">
      <w:bodyDiv w:val="1"/>
      <w:marLeft w:val="0"/>
      <w:marRight w:val="0"/>
      <w:marTop w:val="0"/>
      <w:marBottom w:val="0"/>
      <w:divBdr>
        <w:top w:val="none" w:sz="0" w:space="0" w:color="auto"/>
        <w:left w:val="none" w:sz="0" w:space="0" w:color="auto"/>
        <w:bottom w:val="none" w:sz="0" w:space="0" w:color="auto"/>
        <w:right w:val="none" w:sz="0" w:space="0" w:color="auto"/>
      </w:divBdr>
    </w:div>
    <w:div w:id="486357551">
      <w:bodyDiv w:val="1"/>
      <w:marLeft w:val="0"/>
      <w:marRight w:val="0"/>
      <w:marTop w:val="0"/>
      <w:marBottom w:val="0"/>
      <w:divBdr>
        <w:top w:val="none" w:sz="0" w:space="0" w:color="auto"/>
        <w:left w:val="none" w:sz="0" w:space="0" w:color="auto"/>
        <w:bottom w:val="none" w:sz="0" w:space="0" w:color="auto"/>
        <w:right w:val="none" w:sz="0" w:space="0" w:color="auto"/>
      </w:divBdr>
    </w:div>
    <w:div w:id="760953872">
      <w:bodyDiv w:val="1"/>
      <w:marLeft w:val="0"/>
      <w:marRight w:val="0"/>
      <w:marTop w:val="0"/>
      <w:marBottom w:val="0"/>
      <w:divBdr>
        <w:top w:val="none" w:sz="0" w:space="0" w:color="auto"/>
        <w:left w:val="none" w:sz="0" w:space="0" w:color="auto"/>
        <w:bottom w:val="none" w:sz="0" w:space="0" w:color="auto"/>
        <w:right w:val="none" w:sz="0" w:space="0" w:color="auto"/>
      </w:divBdr>
    </w:div>
    <w:div w:id="1205482481">
      <w:bodyDiv w:val="1"/>
      <w:marLeft w:val="0"/>
      <w:marRight w:val="0"/>
      <w:marTop w:val="0"/>
      <w:marBottom w:val="0"/>
      <w:divBdr>
        <w:top w:val="none" w:sz="0" w:space="0" w:color="auto"/>
        <w:left w:val="none" w:sz="0" w:space="0" w:color="auto"/>
        <w:bottom w:val="none" w:sz="0" w:space="0" w:color="auto"/>
        <w:right w:val="none" w:sz="0" w:space="0" w:color="auto"/>
      </w:divBdr>
    </w:div>
    <w:div w:id="1572429686">
      <w:bodyDiv w:val="1"/>
      <w:marLeft w:val="0"/>
      <w:marRight w:val="0"/>
      <w:marTop w:val="0"/>
      <w:marBottom w:val="0"/>
      <w:divBdr>
        <w:top w:val="none" w:sz="0" w:space="0" w:color="auto"/>
        <w:left w:val="none" w:sz="0" w:space="0" w:color="auto"/>
        <w:bottom w:val="none" w:sz="0" w:space="0" w:color="auto"/>
        <w:right w:val="none" w:sz="0" w:space="0" w:color="auto"/>
      </w:divBdr>
    </w:div>
    <w:div w:id="1796363340">
      <w:bodyDiv w:val="1"/>
      <w:marLeft w:val="0"/>
      <w:marRight w:val="0"/>
      <w:marTop w:val="0"/>
      <w:marBottom w:val="0"/>
      <w:divBdr>
        <w:top w:val="none" w:sz="0" w:space="0" w:color="auto"/>
        <w:left w:val="none" w:sz="0" w:space="0" w:color="auto"/>
        <w:bottom w:val="none" w:sz="0" w:space="0" w:color="auto"/>
        <w:right w:val="none" w:sz="0" w:space="0" w:color="auto"/>
      </w:divBdr>
    </w:div>
    <w:div w:id="1991009362">
      <w:bodyDiv w:val="1"/>
      <w:marLeft w:val="0"/>
      <w:marRight w:val="0"/>
      <w:marTop w:val="0"/>
      <w:marBottom w:val="0"/>
      <w:divBdr>
        <w:top w:val="none" w:sz="0" w:space="0" w:color="auto"/>
        <w:left w:val="none" w:sz="0" w:space="0" w:color="auto"/>
        <w:bottom w:val="none" w:sz="0" w:space="0" w:color="auto"/>
        <w:right w:val="none" w:sz="0" w:space="0" w:color="auto"/>
      </w:divBdr>
    </w:div>
    <w:div w:id="201760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ie/prescribed-pers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Heneghan</dc:creator>
  <cp:lastModifiedBy>Michelle Ellis</cp:lastModifiedBy>
  <cp:revision>2</cp:revision>
  <cp:lastPrinted>2017-07-05T14:46:00Z</cp:lastPrinted>
  <dcterms:created xsi:type="dcterms:W3CDTF">2025-04-15T10:31:00Z</dcterms:created>
  <dcterms:modified xsi:type="dcterms:W3CDTF">2025-04-15T10:31:00Z</dcterms:modified>
</cp:coreProperties>
</file>