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0A8A" w14:textId="27BA3606" w:rsidR="00FA1A02" w:rsidRDefault="00055CCA" w:rsidP="001B220C">
      <w:pPr>
        <w:jc w:val="center"/>
        <w:rPr>
          <w:b/>
          <w:bCs/>
          <w:sz w:val="40"/>
          <w:szCs w:val="40"/>
        </w:rPr>
      </w:pPr>
      <w:r>
        <w:rPr>
          <w:b/>
          <w:bCs/>
          <w:sz w:val="40"/>
          <w:szCs w:val="40"/>
        </w:rPr>
        <w:t>F</w:t>
      </w:r>
      <w:r w:rsidR="001B220C">
        <w:rPr>
          <w:b/>
          <w:bCs/>
          <w:sz w:val="40"/>
          <w:szCs w:val="40"/>
        </w:rPr>
        <w:t>ormal Disciplinary Procedure Checklist</w:t>
      </w:r>
    </w:p>
    <w:p w14:paraId="372F3BCD" w14:textId="1F8AD6B1" w:rsidR="001B220C" w:rsidRDefault="001B220C" w:rsidP="001B220C">
      <w:r w:rsidRPr="001B220C">
        <w:t xml:space="preserve">ISME would always advise members to ensure their </w:t>
      </w:r>
      <w:r w:rsidR="001B1F08">
        <w:t xml:space="preserve">Company </w:t>
      </w:r>
      <w:r w:rsidRPr="001B220C">
        <w:t>disciplinary policy is up to date and in line with the code of practice. Th</w:t>
      </w:r>
      <w:r w:rsidR="001B1F08">
        <w:t>e below</w:t>
      </w:r>
      <w:r w:rsidRPr="001B220C">
        <w:t xml:space="preserve"> checklist can be used as a tool in </w:t>
      </w:r>
      <w:r w:rsidRPr="001B1F08">
        <w:t>conjunction</w:t>
      </w:r>
      <w:r w:rsidRPr="001B220C">
        <w:rPr>
          <w:color w:val="FF0000"/>
        </w:rPr>
        <w:t xml:space="preserve"> </w:t>
      </w:r>
      <w:r w:rsidRPr="001B220C">
        <w:t xml:space="preserve">with your policy </w:t>
      </w:r>
      <w:r>
        <w:t xml:space="preserve">to ensure you manage the disciplinary procedures fairly and consistently. </w:t>
      </w:r>
    </w:p>
    <w:p w14:paraId="6D24C42A" w14:textId="77777777" w:rsidR="00924F80" w:rsidRDefault="001B220C" w:rsidP="003B41E6">
      <w:pPr>
        <w:jc w:val="both"/>
      </w:pPr>
      <w:r>
        <w:t xml:space="preserve">In certain instances (if appropriate) it would be advisable for the company to manage an employee’s shortcomings informally. </w:t>
      </w:r>
      <w:r w:rsidR="00AB59F7">
        <w:t>However, this is not always viable</w:t>
      </w:r>
      <w:r w:rsidR="003B41E6">
        <w:t>,</w:t>
      </w:r>
      <w:r w:rsidR="00AB59F7">
        <w:t xml:space="preserve"> if the situation is serious </w:t>
      </w:r>
      <w:r w:rsidR="00131BC6">
        <w:t xml:space="preserve">the company may need to escalate the matter of concern via the formal disciplinary route. </w:t>
      </w:r>
    </w:p>
    <w:p w14:paraId="4722647E" w14:textId="1127FA17" w:rsidR="00427C6F" w:rsidRDefault="00427C6F" w:rsidP="00427C6F">
      <w:pPr>
        <w:spacing w:before="240"/>
        <w:rPr>
          <w:color w:val="000000"/>
        </w:rPr>
      </w:pPr>
      <w:r>
        <w:rPr>
          <w:color w:val="000000"/>
        </w:rPr>
        <w:t xml:space="preserve">The formal procedure may be invoked in the </w:t>
      </w:r>
      <w:r w:rsidR="00047B06">
        <w:rPr>
          <w:color w:val="000000"/>
        </w:rPr>
        <w:t xml:space="preserve">example </w:t>
      </w:r>
      <w:r>
        <w:rPr>
          <w:color w:val="000000"/>
        </w:rPr>
        <w:t>circumstances below:</w:t>
      </w:r>
    </w:p>
    <w:p w14:paraId="3FD5EDC0" w14:textId="0A4A9955" w:rsidR="002E4AEB" w:rsidRDefault="00427C6F" w:rsidP="0080198A">
      <w:pPr>
        <w:pStyle w:val="ListParagraph"/>
        <w:numPr>
          <w:ilvl w:val="0"/>
          <w:numId w:val="7"/>
        </w:numPr>
        <w:spacing w:after="0" w:line="240" w:lineRule="auto"/>
        <w:rPr>
          <w:color w:val="000000"/>
        </w:rPr>
      </w:pPr>
      <w:r w:rsidRPr="002E4AEB">
        <w:rPr>
          <w:color w:val="000000"/>
        </w:rPr>
        <w:t xml:space="preserve">Where the </w:t>
      </w:r>
      <w:r w:rsidR="002E4AEB">
        <w:rPr>
          <w:color w:val="000000"/>
        </w:rPr>
        <w:t>s</w:t>
      </w:r>
      <w:r w:rsidR="0080198A" w:rsidRPr="002E4AEB">
        <w:rPr>
          <w:color w:val="000000"/>
        </w:rPr>
        <w:t xml:space="preserve">ituation has </w:t>
      </w:r>
      <w:r w:rsidR="002E4AEB" w:rsidRPr="002E4AEB">
        <w:rPr>
          <w:color w:val="000000"/>
        </w:rPr>
        <w:t>failed to be</w:t>
      </w:r>
      <w:r w:rsidR="0080198A" w:rsidRPr="002E4AEB">
        <w:rPr>
          <w:color w:val="000000"/>
        </w:rPr>
        <w:t xml:space="preserve"> resolved </w:t>
      </w:r>
      <w:r w:rsidR="002E4AEB" w:rsidRPr="002E4AEB">
        <w:rPr>
          <w:color w:val="000000"/>
        </w:rPr>
        <w:t xml:space="preserve">through the </w:t>
      </w:r>
      <w:r w:rsidRPr="002E4AEB">
        <w:rPr>
          <w:color w:val="000000"/>
        </w:rPr>
        <w:t>informal procedure</w:t>
      </w:r>
      <w:r w:rsidR="002E4AEB">
        <w:rPr>
          <w:color w:val="000000"/>
        </w:rPr>
        <w:t>.</w:t>
      </w:r>
    </w:p>
    <w:p w14:paraId="050F5337" w14:textId="0AC00675" w:rsidR="0027250E" w:rsidRDefault="00427C6F" w:rsidP="0080198A">
      <w:pPr>
        <w:pStyle w:val="ListParagraph"/>
        <w:numPr>
          <w:ilvl w:val="0"/>
          <w:numId w:val="7"/>
        </w:numPr>
        <w:spacing w:after="0" w:line="240" w:lineRule="auto"/>
        <w:rPr>
          <w:color w:val="000000"/>
        </w:rPr>
      </w:pPr>
      <w:r w:rsidRPr="0027250E">
        <w:rPr>
          <w:color w:val="000000"/>
        </w:rPr>
        <w:t xml:space="preserve">Where the informal procedure is not appropriate </w:t>
      </w:r>
      <w:r w:rsidR="009300AD">
        <w:rPr>
          <w:color w:val="000000"/>
        </w:rPr>
        <w:t xml:space="preserve">as the allegation could be considered as a serious form of misconduct or gross misconduct </w:t>
      </w:r>
      <w:r w:rsidRPr="0027250E">
        <w:rPr>
          <w:color w:val="000000"/>
        </w:rPr>
        <w:t xml:space="preserve">and </w:t>
      </w:r>
      <w:r w:rsidR="00173D7C">
        <w:rPr>
          <w:color w:val="000000"/>
        </w:rPr>
        <w:t>formal</w:t>
      </w:r>
      <w:r w:rsidRPr="0027250E">
        <w:rPr>
          <w:color w:val="000000"/>
        </w:rPr>
        <w:t xml:space="preserve"> disciplinary action is </w:t>
      </w:r>
      <w:r w:rsidR="0027250E">
        <w:rPr>
          <w:color w:val="000000"/>
        </w:rPr>
        <w:t>necessary.</w:t>
      </w:r>
    </w:p>
    <w:p w14:paraId="5E14635F" w14:textId="2E0C6AEA" w:rsidR="00924F80" w:rsidRPr="0027250E" w:rsidRDefault="00427C6F" w:rsidP="0080198A">
      <w:pPr>
        <w:pStyle w:val="ListParagraph"/>
        <w:numPr>
          <w:ilvl w:val="0"/>
          <w:numId w:val="7"/>
        </w:numPr>
        <w:spacing w:after="0" w:line="240" w:lineRule="auto"/>
        <w:rPr>
          <w:color w:val="000000"/>
        </w:rPr>
      </w:pPr>
      <w:r w:rsidRPr="0027250E">
        <w:rPr>
          <w:color w:val="000000"/>
        </w:rPr>
        <w:t xml:space="preserve">Where an earlier stage of the formal procedure </w:t>
      </w:r>
      <w:r w:rsidR="00173D7C">
        <w:rPr>
          <w:color w:val="000000"/>
        </w:rPr>
        <w:t xml:space="preserve">was invoked and </w:t>
      </w:r>
      <w:r w:rsidRPr="0027250E">
        <w:rPr>
          <w:color w:val="000000"/>
        </w:rPr>
        <w:t>fail</w:t>
      </w:r>
      <w:r w:rsidR="00173D7C">
        <w:rPr>
          <w:color w:val="000000"/>
        </w:rPr>
        <w:t>ed</w:t>
      </w:r>
      <w:r w:rsidRPr="0027250E">
        <w:rPr>
          <w:color w:val="000000"/>
        </w:rPr>
        <w:t xml:space="preserve"> to resolve the issue</w:t>
      </w:r>
      <w:r w:rsidR="00173D7C">
        <w:rPr>
          <w:color w:val="000000"/>
        </w:rPr>
        <w:t xml:space="preserve">, the next step may need to be </w:t>
      </w:r>
      <w:r w:rsidR="00CD57C4">
        <w:rPr>
          <w:color w:val="000000"/>
        </w:rPr>
        <w:t xml:space="preserve">another formal disciplinary step. </w:t>
      </w:r>
    </w:p>
    <w:p w14:paraId="6837ACC6" w14:textId="77777777" w:rsidR="00427C6F" w:rsidRPr="00427C6F" w:rsidRDefault="00427C6F" w:rsidP="00427C6F">
      <w:pPr>
        <w:spacing w:after="0" w:line="240" w:lineRule="auto"/>
        <w:ind w:left="1440"/>
        <w:rPr>
          <w:color w:val="000000"/>
        </w:rPr>
      </w:pPr>
    </w:p>
    <w:p w14:paraId="3A2DCFF7" w14:textId="6D7E3651" w:rsidR="001B1F08" w:rsidRPr="003B41E6" w:rsidRDefault="003D6978" w:rsidP="003B41E6">
      <w:pPr>
        <w:jc w:val="both"/>
        <w:rPr>
          <w:color w:val="000000"/>
        </w:rPr>
      </w:pPr>
      <w:r>
        <w:t xml:space="preserve">It is important to </w:t>
      </w:r>
      <w:r w:rsidR="007737E4">
        <w:t>note</w:t>
      </w:r>
      <w:r>
        <w:t xml:space="preserve"> that the </w:t>
      </w:r>
      <w:r w:rsidR="007737E4">
        <w:t xml:space="preserve">code of practice </w:t>
      </w:r>
      <w:r w:rsidR="007737E4">
        <w:rPr>
          <w:color w:val="000000"/>
        </w:rPr>
        <w:t xml:space="preserve">encourages that levels of disciplinary sanctions be imposed progressively or proportionate to </w:t>
      </w:r>
      <w:r w:rsidR="007737E4" w:rsidRPr="00DE224D">
        <w:t xml:space="preserve">the </w:t>
      </w:r>
      <w:r w:rsidR="00B65A47">
        <w:t>offence</w:t>
      </w:r>
      <w:r w:rsidR="003B41E6">
        <w:t>.</w:t>
      </w:r>
      <w:r w:rsidR="007737E4" w:rsidRPr="00DE224D">
        <w:t xml:space="preserve">   </w:t>
      </w:r>
    </w:p>
    <w:p w14:paraId="19155B2A" w14:textId="4954B511" w:rsidR="001B220C" w:rsidRDefault="001B220C" w:rsidP="001B220C">
      <w:r>
        <w:t xml:space="preserve">Below we have outlined a </w:t>
      </w:r>
      <w:r w:rsidR="00627C8A">
        <w:t xml:space="preserve">step by step </w:t>
      </w:r>
      <w:r>
        <w:t xml:space="preserve">guide to assist you </w:t>
      </w:r>
      <w:r w:rsidR="00627C8A">
        <w:t>manage</w:t>
      </w:r>
      <w:r>
        <w:t xml:space="preserve"> the formal stage of the Disciplinary Process: </w:t>
      </w:r>
    </w:p>
    <w:tbl>
      <w:tblPr>
        <w:tblStyle w:val="TableGrid"/>
        <w:tblW w:w="9776" w:type="dxa"/>
        <w:tblLayout w:type="fixed"/>
        <w:tblLook w:val="04A0" w:firstRow="1" w:lastRow="0" w:firstColumn="1" w:lastColumn="0" w:noHBand="0" w:noVBand="1"/>
      </w:tblPr>
      <w:tblGrid>
        <w:gridCol w:w="6658"/>
        <w:gridCol w:w="1576"/>
        <w:gridCol w:w="1542"/>
      </w:tblGrid>
      <w:tr w:rsidR="009F7654" w:rsidRPr="009F7654" w14:paraId="2916CE63" w14:textId="681847C3" w:rsidTr="00556503">
        <w:trPr>
          <w:trHeight w:val="692"/>
        </w:trPr>
        <w:tc>
          <w:tcPr>
            <w:tcW w:w="6658" w:type="dxa"/>
          </w:tcPr>
          <w:p w14:paraId="7DB0C1B8" w14:textId="00EBC2D2" w:rsidR="009F7654" w:rsidRPr="009F7654" w:rsidRDefault="009F7654" w:rsidP="009F7654">
            <w:pPr>
              <w:rPr>
                <w:b/>
                <w:bCs/>
              </w:rPr>
            </w:pPr>
            <w:r>
              <w:rPr>
                <w:b/>
                <w:bCs/>
              </w:rPr>
              <w:t>R</w:t>
            </w:r>
            <w:r w:rsidRPr="009F7654">
              <w:rPr>
                <w:b/>
                <w:bCs/>
              </w:rPr>
              <w:t>ecommended</w:t>
            </w:r>
            <w:r>
              <w:rPr>
                <w:b/>
                <w:bCs/>
              </w:rPr>
              <w:t xml:space="preserve"> Process and Guide </w:t>
            </w:r>
          </w:p>
        </w:tc>
        <w:tc>
          <w:tcPr>
            <w:tcW w:w="1576" w:type="dxa"/>
          </w:tcPr>
          <w:p w14:paraId="01049D65" w14:textId="4031999E" w:rsidR="009F7654" w:rsidRPr="009F7654" w:rsidRDefault="009F7654" w:rsidP="009F7654">
            <w:pPr>
              <w:rPr>
                <w:b/>
                <w:bCs/>
              </w:rPr>
            </w:pPr>
            <w:r w:rsidRPr="009F7654">
              <w:rPr>
                <w:b/>
                <w:bCs/>
              </w:rPr>
              <w:t>Actioned</w:t>
            </w:r>
          </w:p>
        </w:tc>
        <w:tc>
          <w:tcPr>
            <w:tcW w:w="1542" w:type="dxa"/>
          </w:tcPr>
          <w:p w14:paraId="0685F044" w14:textId="7A70246A" w:rsidR="009F7654" w:rsidRPr="009F7654" w:rsidRDefault="009F7654" w:rsidP="00D57934">
            <w:pPr>
              <w:rPr>
                <w:b/>
                <w:bCs/>
              </w:rPr>
            </w:pPr>
            <w:r w:rsidRPr="009F7654">
              <w:rPr>
                <w:b/>
                <w:bCs/>
              </w:rPr>
              <w:t>Not</w:t>
            </w:r>
            <w:r w:rsidR="00D57934">
              <w:rPr>
                <w:b/>
                <w:bCs/>
              </w:rPr>
              <w:t xml:space="preserve"> </w:t>
            </w:r>
            <w:r w:rsidRPr="009F7654">
              <w:rPr>
                <w:b/>
                <w:bCs/>
              </w:rPr>
              <w:t>Actioned</w:t>
            </w:r>
          </w:p>
        </w:tc>
      </w:tr>
      <w:tr w:rsidR="009F7654" w14:paraId="74DA6A69" w14:textId="5B5F0DCF" w:rsidTr="00556503">
        <w:trPr>
          <w:trHeight w:val="313"/>
        </w:trPr>
        <w:tc>
          <w:tcPr>
            <w:tcW w:w="6658" w:type="dxa"/>
          </w:tcPr>
          <w:p w14:paraId="7F14C27E" w14:textId="4676BE34" w:rsidR="009F7654" w:rsidRDefault="009F7654" w:rsidP="00C648C7">
            <w:r>
              <w:t>Prepare and send a formal letter to the employee inviting them to the disciplinary hearing. This letter should be sent in advance (recommended practice would advise at least 24 hours’ notice to be given).</w:t>
            </w:r>
          </w:p>
          <w:p w14:paraId="7EA3C99E" w14:textId="77777777" w:rsidR="009F7654" w:rsidRDefault="009F7654" w:rsidP="00C648C7">
            <w:r>
              <w:t>The letter will include the following:</w:t>
            </w:r>
          </w:p>
          <w:p w14:paraId="48BBBF1D" w14:textId="69D84154" w:rsidR="009F7654" w:rsidRDefault="009F7654" w:rsidP="005456A4">
            <w:pPr>
              <w:pStyle w:val="ListParagraph"/>
              <w:numPr>
                <w:ilvl w:val="0"/>
                <w:numId w:val="8"/>
              </w:numPr>
            </w:pPr>
            <w:r>
              <w:t>Confirmation that this meeting is a disciplinary hearing</w:t>
            </w:r>
          </w:p>
          <w:p w14:paraId="5679A3B3" w14:textId="69EE0C5A" w:rsidR="009F7654" w:rsidRDefault="009F7654" w:rsidP="005456A4">
            <w:pPr>
              <w:pStyle w:val="ListParagraph"/>
              <w:numPr>
                <w:ilvl w:val="0"/>
                <w:numId w:val="8"/>
              </w:numPr>
            </w:pPr>
            <w:r>
              <w:t xml:space="preserve">Copy of the disciplinary policy and </w:t>
            </w:r>
            <w:r>
              <w:rPr>
                <w:color w:val="000000"/>
              </w:rPr>
              <w:t>the policy which the employee is alleged to have breached (if relevant)</w:t>
            </w:r>
          </w:p>
          <w:p w14:paraId="55F04B50" w14:textId="7A39829F" w:rsidR="009F7654" w:rsidRDefault="009F7654" w:rsidP="005456A4">
            <w:pPr>
              <w:pStyle w:val="ListParagraph"/>
              <w:numPr>
                <w:ilvl w:val="0"/>
                <w:numId w:val="8"/>
              </w:numPr>
            </w:pPr>
            <w:r>
              <w:t>Outline the allegation and ensure to include if this allegation may be considered as gross misconduct</w:t>
            </w:r>
          </w:p>
          <w:p w14:paraId="5A2A4945" w14:textId="6AFCA580" w:rsidR="009F7654" w:rsidRDefault="009F7654" w:rsidP="005456A4">
            <w:pPr>
              <w:pStyle w:val="ListParagraph"/>
              <w:numPr>
                <w:ilvl w:val="0"/>
                <w:numId w:val="8"/>
              </w:numPr>
            </w:pPr>
            <w:r>
              <w:lastRenderedPageBreak/>
              <w:t>Offer the employee the opportunity to bring a representative to the hearing and request the employee advises who they intend to bring before the meeting</w:t>
            </w:r>
          </w:p>
          <w:p w14:paraId="5C7C5DEA" w14:textId="0C373805" w:rsidR="009F7654" w:rsidRDefault="009F7654" w:rsidP="005456A4">
            <w:pPr>
              <w:pStyle w:val="ListParagraph"/>
              <w:numPr>
                <w:ilvl w:val="0"/>
                <w:numId w:val="8"/>
              </w:numPr>
            </w:pPr>
            <w:r>
              <w:t xml:space="preserve">Include any relevant evidence being used as part of the process. For example- training records, witness statements and/or CCTV footage </w:t>
            </w:r>
          </w:p>
          <w:p w14:paraId="3B67C9C3" w14:textId="68F7F9CE" w:rsidR="009F7654" w:rsidRDefault="009F7654" w:rsidP="005456A4">
            <w:pPr>
              <w:pStyle w:val="ListParagraph"/>
              <w:numPr>
                <w:ilvl w:val="0"/>
                <w:numId w:val="8"/>
              </w:numPr>
            </w:pPr>
            <w:r>
              <w:t>Time, date, location of the meeting , disciplinary officers name and note takers name should all be included in the invite letter</w:t>
            </w:r>
          </w:p>
        </w:tc>
        <w:tc>
          <w:tcPr>
            <w:tcW w:w="1576" w:type="dxa"/>
          </w:tcPr>
          <w:p w14:paraId="4B3E90C2" w14:textId="0306BD32" w:rsidR="009F7654" w:rsidRPr="009F7654" w:rsidRDefault="009F7654" w:rsidP="009F7654">
            <w:pPr>
              <w:jc w:val="center"/>
              <w:rPr>
                <w:sz w:val="52"/>
                <w:szCs w:val="52"/>
              </w:rPr>
            </w:pPr>
            <w:r w:rsidRPr="009F7654">
              <w:rPr>
                <w:sz w:val="52"/>
                <w:szCs w:val="52"/>
                <w:lang w:val="en-GB"/>
              </w:rPr>
              <w:lastRenderedPageBreak/>
              <w:t>○</w:t>
            </w:r>
          </w:p>
        </w:tc>
        <w:tc>
          <w:tcPr>
            <w:tcW w:w="1542" w:type="dxa"/>
          </w:tcPr>
          <w:p w14:paraId="68A1A560" w14:textId="5E178A46" w:rsidR="009F7654" w:rsidRPr="009F7654" w:rsidRDefault="009F7654" w:rsidP="009F7654">
            <w:pPr>
              <w:jc w:val="center"/>
              <w:rPr>
                <w:sz w:val="52"/>
                <w:szCs w:val="52"/>
                <w:lang w:val="en-GB"/>
              </w:rPr>
            </w:pPr>
            <w:r w:rsidRPr="009F7654">
              <w:rPr>
                <w:sz w:val="52"/>
                <w:szCs w:val="52"/>
                <w:lang w:val="en-GB"/>
              </w:rPr>
              <w:t>○</w:t>
            </w:r>
          </w:p>
        </w:tc>
      </w:tr>
      <w:tr w:rsidR="009F7654" w14:paraId="58F12CF3" w14:textId="1C52324A" w:rsidTr="00556503">
        <w:trPr>
          <w:trHeight w:val="402"/>
        </w:trPr>
        <w:tc>
          <w:tcPr>
            <w:tcW w:w="6658" w:type="dxa"/>
          </w:tcPr>
          <w:p w14:paraId="0B92C5EC" w14:textId="77777777" w:rsidR="009F7654" w:rsidRDefault="009F7654" w:rsidP="001B220C">
            <w:r>
              <w:t>Meeting preparation:</w:t>
            </w:r>
          </w:p>
          <w:p w14:paraId="7A314456" w14:textId="07FCCB31" w:rsidR="009F7654" w:rsidRDefault="009F7654" w:rsidP="001B220C">
            <w:r>
              <w:t>The disciplinary officer must consider the nature of the offence, all evidence gathered and what questions need to be covered to get a full understanding of the situation and alleged offence.</w:t>
            </w:r>
          </w:p>
        </w:tc>
        <w:tc>
          <w:tcPr>
            <w:tcW w:w="1576" w:type="dxa"/>
          </w:tcPr>
          <w:p w14:paraId="6666259F" w14:textId="7B420F02" w:rsidR="009F7654" w:rsidRDefault="009F7654" w:rsidP="009F7654">
            <w:pPr>
              <w:jc w:val="center"/>
            </w:pPr>
            <w:r w:rsidRPr="009F7654">
              <w:rPr>
                <w:sz w:val="52"/>
                <w:szCs w:val="52"/>
                <w:lang w:val="en-GB"/>
              </w:rPr>
              <w:t>○</w:t>
            </w:r>
          </w:p>
        </w:tc>
        <w:tc>
          <w:tcPr>
            <w:tcW w:w="1542" w:type="dxa"/>
          </w:tcPr>
          <w:p w14:paraId="185FEF44" w14:textId="48209810" w:rsidR="009F7654" w:rsidRPr="009F7654" w:rsidRDefault="009F7654" w:rsidP="009F7654">
            <w:pPr>
              <w:jc w:val="center"/>
              <w:rPr>
                <w:sz w:val="52"/>
                <w:szCs w:val="52"/>
                <w:lang w:val="en-GB"/>
              </w:rPr>
            </w:pPr>
            <w:r w:rsidRPr="009F7654">
              <w:rPr>
                <w:sz w:val="52"/>
                <w:szCs w:val="52"/>
                <w:lang w:val="en-GB"/>
              </w:rPr>
              <w:t>○</w:t>
            </w:r>
          </w:p>
        </w:tc>
      </w:tr>
      <w:tr w:rsidR="009F7654" w14:paraId="4A1C197C" w14:textId="336AC7E4" w:rsidTr="00556503">
        <w:tc>
          <w:tcPr>
            <w:tcW w:w="6658" w:type="dxa"/>
          </w:tcPr>
          <w:p w14:paraId="37565552" w14:textId="406F699C" w:rsidR="009F7654" w:rsidRDefault="009F7654" w:rsidP="00C648C7">
            <w:r>
              <w:t xml:space="preserve"> If the allegation is being considered as gross misconduct, there may be a need to consider suspension and this must be communicated in writing to the employee in question. If you are considering suspension, it would be advisable to seek further HR advise before taking this step.</w:t>
            </w:r>
          </w:p>
        </w:tc>
        <w:tc>
          <w:tcPr>
            <w:tcW w:w="1576" w:type="dxa"/>
          </w:tcPr>
          <w:p w14:paraId="57F5BA16" w14:textId="3046CCD1" w:rsidR="009F7654" w:rsidRDefault="009F7654" w:rsidP="009F7654">
            <w:pPr>
              <w:jc w:val="center"/>
            </w:pPr>
            <w:r w:rsidRPr="009F7654">
              <w:rPr>
                <w:sz w:val="52"/>
                <w:szCs w:val="52"/>
                <w:lang w:val="en-GB"/>
              </w:rPr>
              <w:t>○</w:t>
            </w:r>
          </w:p>
        </w:tc>
        <w:tc>
          <w:tcPr>
            <w:tcW w:w="1542" w:type="dxa"/>
          </w:tcPr>
          <w:p w14:paraId="2283348C" w14:textId="25768896" w:rsidR="009F7654" w:rsidRPr="009F7654" w:rsidRDefault="009F7654" w:rsidP="009F7654">
            <w:pPr>
              <w:jc w:val="center"/>
              <w:rPr>
                <w:sz w:val="52"/>
                <w:szCs w:val="52"/>
                <w:lang w:val="en-GB"/>
              </w:rPr>
            </w:pPr>
            <w:r w:rsidRPr="009F7654">
              <w:rPr>
                <w:sz w:val="52"/>
                <w:szCs w:val="52"/>
                <w:lang w:val="en-GB"/>
              </w:rPr>
              <w:t>○</w:t>
            </w:r>
          </w:p>
        </w:tc>
      </w:tr>
      <w:tr w:rsidR="009F7654" w14:paraId="2ABB4F4D" w14:textId="1E83939C" w:rsidTr="00556503">
        <w:tc>
          <w:tcPr>
            <w:tcW w:w="6658" w:type="dxa"/>
          </w:tcPr>
          <w:p w14:paraId="0EC1C3E8" w14:textId="77777777" w:rsidR="009F7654" w:rsidRDefault="009F7654" w:rsidP="003F763D">
            <w:r>
              <w:t>Disciplinary Hearing:</w:t>
            </w:r>
          </w:p>
          <w:p w14:paraId="1F5E9ACA" w14:textId="77777777" w:rsidR="009F7654" w:rsidRDefault="009F7654" w:rsidP="001B7D72">
            <w:pPr>
              <w:pStyle w:val="ListParagraph"/>
              <w:numPr>
                <w:ilvl w:val="0"/>
                <w:numId w:val="9"/>
              </w:numPr>
            </w:pPr>
            <w:r>
              <w:t>Introduce the meeting as a disciplinary hearing and outline who is present and their role at the meeting</w:t>
            </w:r>
          </w:p>
          <w:p w14:paraId="66171E8D" w14:textId="77777777" w:rsidR="009F7654" w:rsidRDefault="009F7654" w:rsidP="001B7D72">
            <w:pPr>
              <w:pStyle w:val="ListParagraph"/>
              <w:numPr>
                <w:ilvl w:val="0"/>
                <w:numId w:val="9"/>
              </w:numPr>
            </w:pPr>
            <w:r>
              <w:t>Confirm that the purpose of the disciplinary meeting is to discuss the allegation and confirm what this allegation is</w:t>
            </w:r>
          </w:p>
          <w:p w14:paraId="6A3C4482" w14:textId="2FF66100" w:rsidR="009F7654" w:rsidRDefault="009F7654" w:rsidP="001B7D72">
            <w:pPr>
              <w:pStyle w:val="ListParagraph"/>
              <w:numPr>
                <w:ilvl w:val="0"/>
                <w:numId w:val="9"/>
              </w:numPr>
            </w:pPr>
            <w:r>
              <w:t>Present evidence and any relevant documents that are being used in this disciplinary hearing</w:t>
            </w:r>
          </w:p>
          <w:p w14:paraId="6DC7C06C" w14:textId="7F8F6664" w:rsidR="009F7654" w:rsidRPr="00B81D58" w:rsidRDefault="009F7654" w:rsidP="001B7D72">
            <w:pPr>
              <w:pStyle w:val="ListParagraph"/>
              <w:numPr>
                <w:ilvl w:val="0"/>
                <w:numId w:val="9"/>
              </w:numPr>
            </w:pPr>
            <w:r>
              <w:rPr>
                <w:color w:val="000000"/>
              </w:rPr>
              <w:t>Ask the employee to respond to the allegation and the evidence presented and allow the employee time to respond and explain their perspective of the situation. The Disciplinary Officer must then consider the responses and any mitigation put forward</w:t>
            </w:r>
          </w:p>
          <w:p w14:paraId="330A9592" w14:textId="3C8C70D1" w:rsidR="009F7654" w:rsidRDefault="009F7654" w:rsidP="00980648">
            <w:pPr>
              <w:pStyle w:val="ListParagraph"/>
              <w:numPr>
                <w:ilvl w:val="0"/>
                <w:numId w:val="9"/>
              </w:numPr>
            </w:pPr>
            <w:r>
              <w:t xml:space="preserve">The note taker must taken notes to ensure the conversation is recorded </w:t>
            </w:r>
          </w:p>
        </w:tc>
        <w:tc>
          <w:tcPr>
            <w:tcW w:w="1576" w:type="dxa"/>
          </w:tcPr>
          <w:p w14:paraId="14E90224" w14:textId="272C48F7" w:rsidR="009F7654" w:rsidRDefault="009F7654" w:rsidP="009F7654">
            <w:pPr>
              <w:jc w:val="center"/>
            </w:pPr>
            <w:r w:rsidRPr="009F7654">
              <w:rPr>
                <w:sz w:val="52"/>
                <w:szCs w:val="52"/>
                <w:lang w:val="en-GB"/>
              </w:rPr>
              <w:t>○</w:t>
            </w:r>
          </w:p>
        </w:tc>
        <w:tc>
          <w:tcPr>
            <w:tcW w:w="1542" w:type="dxa"/>
          </w:tcPr>
          <w:p w14:paraId="38C29CB7" w14:textId="7AFBD7AF" w:rsidR="009F7654" w:rsidRPr="009F7654" w:rsidRDefault="009F7654" w:rsidP="009F7654">
            <w:pPr>
              <w:jc w:val="center"/>
              <w:rPr>
                <w:sz w:val="52"/>
                <w:szCs w:val="52"/>
                <w:lang w:val="en-GB"/>
              </w:rPr>
            </w:pPr>
            <w:r w:rsidRPr="009F7654">
              <w:rPr>
                <w:sz w:val="52"/>
                <w:szCs w:val="52"/>
                <w:lang w:val="en-GB"/>
              </w:rPr>
              <w:t>○</w:t>
            </w:r>
          </w:p>
        </w:tc>
      </w:tr>
      <w:tr w:rsidR="009F7654" w14:paraId="5C827027" w14:textId="1D02F88A" w:rsidTr="00556503">
        <w:tc>
          <w:tcPr>
            <w:tcW w:w="6658" w:type="dxa"/>
          </w:tcPr>
          <w:p w14:paraId="6EDE16E2" w14:textId="1CB6AB37" w:rsidR="009F7654" w:rsidRDefault="009F7654" w:rsidP="001B220C">
            <w:r>
              <w:t xml:space="preserve">The disciplinary officer may want to take a short adjournment to consider all the information and ensure everything has been covered before concluding the hearing. </w:t>
            </w:r>
          </w:p>
        </w:tc>
        <w:tc>
          <w:tcPr>
            <w:tcW w:w="1576" w:type="dxa"/>
          </w:tcPr>
          <w:p w14:paraId="11CDCAF3" w14:textId="3D6CC5AC" w:rsidR="009F7654" w:rsidRDefault="009F7654" w:rsidP="009F7654">
            <w:pPr>
              <w:jc w:val="center"/>
            </w:pPr>
            <w:r w:rsidRPr="009F7654">
              <w:rPr>
                <w:sz w:val="52"/>
                <w:szCs w:val="52"/>
                <w:lang w:val="en-GB"/>
              </w:rPr>
              <w:t>○</w:t>
            </w:r>
          </w:p>
        </w:tc>
        <w:tc>
          <w:tcPr>
            <w:tcW w:w="1542" w:type="dxa"/>
          </w:tcPr>
          <w:p w14:paraId="16059ABB" w14:textId="2A8E506F" w:rsidR="009F7654" w:rsidRPr="009F7654" w:rsidRDefault="009F7654" w:rsidP="009F7654">
            <w:pPr>
              <w:jc w:val="center"/>
              <w:rPr>
                <w:sz w:val="52"/>
                <w:szCs w:val="52"/>
                <w:lang w:val="en-GB"/>
              </w:rPr>
            </w:pPr>
            <w:r w:rsidRPr="009F7654">
              <w:rPr>
                <w:sz w:val="52"/>
                <w:szCs w:val="52"/>
                <w:lang w:val="en-GB"/>
              </w:rPr>
              <w:t>○</w:t>
            </w:r>
          </w:p>
        </w:tc>
      </w:tr>
      <w:tr w:rsidR="009F7654" w14:paraId="36CA66AD" w14:textId="700DAE2E" w:rsidTr="00556503">
        <w:trPr>
          <w:trHeight w:val="450"/>
        </w:trPr>
        <w:tc>
          <w:tcPr>
            <w:tcW w:w="6658" w:type="dxa"/>
          </w:tcPr>
          <w:p w14:paraId="4C499738" w14:textId="41E1B5DD" w:rsidR="009F7654" w:rsidRPr="00AA0ED8" w:rsidRDefault="009F7654" w:rsidP="00AA0ED8">
            <w:pPr>
              <w:rPr>
                <w:color w:val="000000"/>
                <w:lang w:val="en-US"/>
              </w:rPr>
            </w:pPr>
            <w:r>
              <w:t>The disciplinary officer should not make a decision at this meeting. They should consider all the information and evidence collected and revert with a decision to the employee in the following days. The disciplinary officer should then d</w:t>
            </w:r>
            <w:r>
              <w:rPr>
                <w:color w:val="000000"/>
              </w:rPr>
              <w:t>etermine, on the balance of probabilities, whether or not the offence is upheld or not and what the outcome will be. O</w:t>
            </w:r>
            <w:r w:rsidRPr="00AA0ED8">
              <w:rPr>
                <w:color w:val="000000"/>
                <w:lang w:val="en-US"/>
              </w:rPr>
              <w:t>ne of the following conclusions will be reached:</w:t>
            </w:r>
          </w:p>
          <w:p w14:paraId="3E3B0F71" w14:textId="1381B872" w:rsidR="009F7654" w:rsidRPr="00AA0ED8" w:rsidRDefault="009F7654" w:rsidP="009F7654">
            <w:pPr>
              <w:spacing w:after="0"/>
              <w:rPr>
                <w:color w:val="000000"/>
                <w:lang w:val="en-US"/>
              </w:rPr>
            </w:pPr>
            <w:r w:rsidRPr="00AA0ED8">
              <w:rPr>
                <w:color w:val="000000"/>
                <w:lang w:val="en-US"/>
              </w:rPr>
              <w:t xml:space="preserve">a. On the balance of probability the allegation(s) is/are upheld </w:t>
            </w:r>
            <w:r>
              <w:rPr>
                <w:color w:val="000000"/>
              </w:rPr>
              <w:t>it may be appropriate to impose a disciplinary sanction.</w:t>
            </w:r>
          </w:p>
          <w:p w14:paraId="7ACC428E" w14:textId="37AA83F6" w:rsidR="009F7654" w:rsidRPr="009F7654" w:rsidRDefault="009F7654" w:rsidP="009F7654">
            <w:pPr>
              <w:spacing w:after="0" w:line="240" w:lineRule="auto"/>
              <w:rPr>
                <w:color w:val="000000"/>
              </w:rPr>
            </w:pPr>
            <w:r w:rsidRPr="00AA0ED8">
              <w:rPr>
                <w:color w:val="000000"/>
                <w:lang w:val="en-US"/>
              </w:rPr>
              <w:t xml:space="preserve">b. </w:t>
            </w:r>
            <w:r>
              <w:rPr>
                <w:color w:val="000000"/>
              </w:rPr>
              <w:t xml:space="preserve">If may be found that further investigation of the matter is necessary, or that further meetings with the Employee are necessary. The disciplinary hearing may be resumed.  </w:t>
            </w:r>
          </w:p>
          <w:p w14:paraId="13155DBD" w14:textId="09A1130F" w:rsidR="009F7654" w:rsidRPr="00C14865" w:rsidRDefault="009F7654" w:rsidP="00832CC7">
            <w:pPr>
              <w:rPr>
                <w:color w:val="000000"/>
                <w:lang w:val="en-US"/>
              </w:rPr>
            </w:pPr>
            <w:r w:rsidRPr="00AA0ED8">
              <w:rPr>
                <w:color w:val="000000"/>
                <w:lang w:val="en-US"/>
              </w:rPr>
              <w:t xml:space="preserve">c. </w:t>
            </w:r>
            <w:r>
              <w:rPr>
                <w:color w:val="000000"/>
                <w:lang w:val="en-US"/>
              </w:rPr>
              <w:t>N</w:t>
            </w:r>
            <w:r w:rsidRPr="00AA0ED8">
              <w:rPr>
                <w:color w:val="000000"/>
                <w:lang w:val="en-US"/>
              </w:rPr>
              <w:t>o case to answer</w:t>
            </w:r>
            <w:r>
              <w:rPr>
                <w:color w:val="000000"/>
                <w:lang w:val="en-US"/>
              </w:rPr>
              <w:t>.</w:t>
            </w:r>
          </w:p>
        </w:tc>
        <w:tc>
          <w:tcPr>
            <w:tcW w:w="1576" w:type="dxa"/>
          </w:tcPr>
          <w:p w14:paraId="63D42E7E" w14:textId="10E8379F" w:rsidR="009F7654" w:rsidRDefault="009F7654" w:rsidP="009F7654">
            <w:pPr>
              <w:jc w:val="center"/>
            </w:pPr>
            <w:r w:rsidRPr="009F7654">
              <w:rPr>
                <w:sz w:val="52"/>
                <w:szCs w:val="52"/>
                <w:lang w:val="en-GB"/>
              </w:rPr>
              <w:t>○</w:t>
            </w:r>
          </w:p>
        </w:tc>
        <w:tc>
          <w:tcPr>
            <w:tcW w:w="1542" w:type="dxa"/>
          </w:tcPr>
          <w:p w14:paraId="57E00808" w14:textId="30B06F8B" w:rsidR="009F7654" w:rsidRPr="009F7654" w:rsidRDefault="009F7654" w:rsidP="009F7654">
            <w:pPr>
              <w:jc w:val="center"/>
              <w:rPr>
                <w:sz w:val="52"/>
                <w:szCs w:val="52"/>
                <w:lang w:val="en-GB"/>
              </w:rPr>
            </w:pPr>
            <w:r w:rsidRPr="009F7654">
              <w:rPr>
                <w:sz w:val="52"/>
                <w:szCs w:val="52"/>
                <w:lang w:val="en-GB"/>
              </w:rPr>
              <w:t>○</w:t>
            </w:r>
          </w:p>
        </w:tc>
      </w:tr>
      <w:tr w:rsidR="009F7654" w14:paraId="2574C024" w14:textId="48A0F558" w:rsidTr="00556503">
        <w:tc>
          <w:tcPr>
            <w:tcW w:w="6658" w:type="dxa"/>
          </w:tcPr>
          <w:p w14:paraId="3E0D59FD" w14:textId="2B3A19F1" w:rsidR="009F7654" w:rsidRDefault="009F7654" w:rsidP="001B220C">
            <w:r>
              <w:t xml:space="preserve">The disciplinary officer should communicate the outcome to the employee and ensure to draft an outcome letter confirming the same in all instances. </w:t>
            </w:r>
          </w:p>
          <w:p w14:paraId="625301B1" w14:textId="77EC4483" w:rsidR="009F7654" w:rsidRDefault="009F7654" w:rsidP="001B220C">
            <w:r>
              <w:rPr>
                <w:color w:val="000000"/>
              </w:rPr>
              <w:t xml:space="preserve">Where the appropriate sanction is a warning, ensure that the appeals process is outlined in the warning document.  The warning should also contain an expiry date as per the company disciplinary policy.  </w:t>
            </w:r>
          </w:p>
        </w:tc>
        <w:tc>
          <w:tcPr>
            <w:tcW w:w="1576" w:type="dxa"/>
          </w:tcPr>
          <w:p w14:paraId="07234CE1" w14:textId="23954CDC" w:rsidR="009F7654" w:rsidRDefault="009F7654" w:rsidP="009F7654">
            <w:pPr>
              <w:jc w:val="center"/>
            </w:pPr>
            <w:r w:rsidRPr="009F7654">
              <w:rPr>
                <w:sz w:val="52"/>
                <w:szCs w:val="52"/>
                <w:lang w:val="en-GB"/>
              </w:rPr>
              <w:t>○</w:t>
            </w:r>
          </w:p>
        </w:tc>
        <w:tc>
          <w:tcPr>
            <w:tcW w:w="1542" w:type="dxa"/>
          </w:tcPr>
          <w:p w14:paraId="61F11406" w14:textId="7BB3EA54" w:rsidR="009F7654" w:rsidRPr="009F7654" w:rsidRDefault="009F7654" w:rsidP="009F7654">
            <w:pPr>
              <w:jc w:val="center"/>
              <w:rPr>
                <w:sz w:val="52"/>
                <w:szCs w:val="52"/>
                <w:lang w:val="en-GB"/>
              </w:rPr>
            </w:pPr>
            <w:r w:rsidRPr="009F7654">
              <w:rPr>
                <w:sz w:val="52"/>
                <w:szCs w:val="52"/>
                <w:lang w:val="en-GB"/>
              </w:rPr>
              <w:t>○</w:t>
            </w:r>
          </w:p>
        </w:tc>
      </w:tr>
    </w:tbl>
    <w:p w14:paraId="60FAF846" w14:textId="77777777" w:rsidR="002509D2" w:rsidRDefault="002509D2" w:rsidP="002509D2">
      <w:pPr>
        <w:rPr>
          <w:color w:val="000000"/>
        </w:rPr>
      </w:pPr>
    </w:p>
    <w:p w14:paraId="154240DC" w14:textId="544B1F42" w:rsidR="002509D2" w:rsidRDefault="002509D2" w:rsidP="002509D2">
      <w:r>
        <w:rPr>
          <w:color w:val="000000"/>
        </w:rPr>
        <w:t xml:space="preserve">It is fundamental that all written records of the disciplinary process be retained and held on the employee file.  </w:t>
      </w:r>
      <w:r>
        <w:t xml:space="preserve">It is important that all steps you take are in line with the companies disciplinary policy. </w:t>
      </w:r>
    </w:p>
    <w:p w14:paraId="306C4AE8" w14:textId="281E4046" w:rsidR="00512CE7" w:rsidRDefault="002509D2" w:rsidP="002509D2">
      <w:pPr>
        <w:jc w:val="both"/>
        <w:rPr>
          <w:color w:val="000000"/>
        </w:rPr>
      </w:pPr>
      <w:r>
        <w:rPr>
          <w:color w:val="000000"/>
        </w:rPr>
        <w:t xml:space="preserve">Please </w:t>
      </w:r>
      <w:r w:rsidR="00512CE7">
        <w:rPr>
          <w:color w:val="000000"/>
        </w:rPr>
        <w:t xml:space="preserve">also </w:t>
      </w:r>
      <w:r>
        <w:rPr>
          <w:color w:val="000000"/>
        </w:rPr>
        <w:t xml:space="preserve">refer to </w:t>
      </w:r>
      <w:r w:rsidR="00B14535">
        <w:rPr>
          <w:color w:val="000000"/>
        </w:rPr>
        <w:t xml:space="preserve">the following documents </w:t>
      </w:r>
      <w:r w:rsidR="00512CE7">
        <w:rPr>
          <w:color w:val="000000"/>
        </w:rPr>
        <w:t>that will assist with this process:</w:t>
      </w:r>
    </w:p>
    <w:p w14:paraId="6C4A2C2B" w14:textId="2214C7D6" w:rsidR="00512CE7" w:rsidRDefault="00BB2643" w:rsidP="00512CE7">
      <w:pPr>
        <w:pStyle w:val="ListParagraph"/>
        <w:numPr>
          <w:ilvl w:val="0"/>
          <w:numId w:val="11"/>
        </w:numPr>
        <w:jc w:val="both"/>
        <w:rPr>
          <w:color w:val="000000"/>
        </w:rPr>
      </w:pPr>
      <w:r>
        <w:rPr>
          <w:color w:val="000000"/>
        </w:rPr>
        <w:t>Your c</w:t>
      </w:r>
      <w:r w:rsidR="00512CE7" w:rsidRPr="00512CE7">
        <w:rPr>
          <w:color w:val="000000"/>
        </w:rPr>
        <w:t xml:space="preserve">ompany </w:t>
      </w:r>
      <w:r w:rsidR="002509D2" w:rsidRPr="00512CE7">
        <w:rPr>
          <w:color w:val="000000"/>
        </w:rPr>
        <w:t>disciplinary polic</w:t>
      </w:r>
      <w:r w:rsidR="00512CE7">
        <w:rPr>
          <w:color w:val="000000"/>
        </w:rPr>
        <w:t>y</w:t>
      </w:r>
    </w:p>
    <w:p w14:paraId="6955DF83" w14:textId="77777777" w:rsidR="00512CE7" w:rsidRPr="00BB2643" w:rsidRDefault="002509D2" w:rsidP="00512CE7">
      <w:pPr>
        <w:pStyle w:val="ListParagraph"/>
        <w:numPr>
          <w:ilvl w:val="0"/>
          <w:numId w:val="11"/>
        </w:numPr>
        <w:jc w:val="both"/>
        <w:rPr>
          <w:color w:val="000000"/>
        </w:rPr>
      </w:pPr>
      <w:r w:rsidRPr="00BB2643">
        <w:rPr>
          <w:color w:val="000000"/>
        </w:rPr>
        <w:t>ISME ‘</w:t>
      </w:r>
      <w:r w:rsidRPr="009F7654">
        <w:rPr>
          <w:i/>
          <w:iCs/>
          <w:color w:val="000000"/>
        </w:rPr>
        <w:t>Disciplinary Plan</w:t>
      </w:r>
      <w:r w:rsidR="00BE29E0" w:rsidRPr="009F7654">
        <w:rPr>
          <w:i/>
          <w:iCs/>
          <w:color w:val="000000"/>
        </w:rPr>
        <w:t>’</w:t>
      </w:r>
    </w:p>
    <w:p w14:paraId="5ED5CE3A" w14:textId="45A9C183" w:rsidR="00BB2643" w:rsidRPr="00BB2643" w:rsidRDefault="00BE29E0" w:rsidP="00512CE7">
      <w:pPr>
        <w:pStyle w:val="ListParagraph"/>
        <w:numPr>
          <w:ilvl w:val="0"/>
          <w:numId w:val="11"/>
        </w:numPr>
        <w:jc w:val="both"/>
        <w:rPr>
          <w:color w:val="000000"/>
        </w:rPr>
      </w:pPr>
      <w:r w:rsidRPr="00BB2643">
        <w:rPr>
          <w:color w:val="000000"/>
        </w:rPr>
        <w:t xml:space="preserve">ISME </w:t>
      </w:r>
      <w:r w:rsidR="00BB2643">
        <w:rPr>
          <w:color w:val="000000"/>
        </w:rPr>
        <w:t>‘</w:t>
      </w:r>
      <w:r w:rsidRPr="009F7654">
        <w:rPr>
          <w:i/>
          <w:iCs/>
          <w:color w:val="000000"/>
        </w:rPr>
        <w:t>Terms of Reference</w:t>
      </w:r>
      <w:r w:rsidR="00BB2643" w:rsidRPr="009F7654">
        <w:rPr>
          <w:i/>
          <w:iCs/>
          <w:color w:val="000000"/>
        </w:rPr>
        <w:t>’</w:t>
      </w:r>
    </w:p>
    <w:p w14:paraId="55C63734" w14:textId="77777777" w:rsidR="00BB2643" w:rsidRPr="00BB2643" w:rsidRDefault="002509D2" w:rsidP="00BB2643">
      <w:pPr>
        <w:pStyle w:val="ListParagraph"/>
        <w:numPr>
          <w:ilvl w:val="0"/>
          <w:numId w:val="11"/>
        </w:numPr>
        <w:jc w:val="both"/>
        <w:rPr>
          <w:color w:val="000000"/>
        </w:rPr>
      </w:pPr>
      <w:r w:rsidRPr="00512CE7">
        <w:rPr>
          <w:color w:val="000000"/>
        </w:rPr>
        <w:t>ISME guide ‘</w:t>
      </w:r>
      <w:r w:rsidRPr="00512CE7">
        <w:rPr>
          <w:i/>
          <w:iCs/>
          <w:color w:val="000000"/>
        </w:rPr>
        <w:t>Formal Disciplinary Procedure Checklist’</w:t>
      </w:r>
    </w:p>
    <w:p w14:paraId="68FF19B5" w14:textId="245A2230" w:rsidR="002509D2" w:rsidRPr="00BB2643" w:rsidRDefault="00BB2643" w:rsidP="00BB2643">
      <w:pPr>
        <w:jc w:val="both"/>
        <w:rPr>
          <w:color w:val="000000"/>
        </w:rPr>
      </w:pPr>
      <w:r>
        <w:rPr>
          <w:color w:val="000000"/>
        </w:rPr>
        <w:t xml:space="preserve">Note: </w:t>
      </w:r>
      <w:r w:rsidRPr="00BB2643">
        <w:rPr>
          <w:color w:val="000000"/>
        </w:rPr>
        <w:t>A</w:t>
      </w:r>
      <w:r w:rsidR="00BE29E0" w:rsidRPr="00BB2643">
        <w:rPr>
          <w:color w:val="000000"/>
        </w:rPr>
        <w:t>ll</w:t>
      </w:r>
      <w:r w:rsidR="002509D2" w:rsidRPr="00BB2643">
        <w:rPr>
          <w:color w:val="000000"/>
        </w:rPr>
        <w:t xml:space="preserve"> templates can be found on the HR Hub here - </w:t>
      </w:r>
      <w:hyperlink r:id="rId7" w:history="1">
        <w:r w:rsidR="002509D2" w:rsidRPr="001B1F08">
          <w:rPr>
            <w:rStyle w:val="Hyperlink"/>
          </w:rPr>
          <w:t>Performance Management | ISME</w:t>
        </w:r>
      </w:hyperlink>
      <w:r w:rsidR="00BE29E0" w:rsidRPr="00BB2643">
        <w:rPr>
          <w:color w:val="000000"/>
        </w:rPr>
        <w:t xml:space="preserve">. There are also letter template available on the ISME HR Hub that will assist you in this process. </w:t>
      </w:r>
    </w:p>
    <w:p w14:paraId="3CAC69F8" w14:textId="1D8A308A" w:rsidR="00C95A52" w:rsidRPr="001B1F08" w:rsidRDefault="00C95A52" w:rsidP="001B220C"/>
    <w:sectPr w:rsidR="00C95A52" w:rsidRPr="001B1F08" w:rsidSect="00C648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BE15" w14:textId="77777777" w:rsidR="00CE2EF3" w:rsidRDefault="00CE2EF3" w:rsidP="00CE2EF3">
      <w:pPr>
        <w:spacing w:after="0" w:line="240" w:lineRule="auto"/>
      </w:pPr>
      <w:r>
        <w:separator/>
      </w:r>
    </w:p>
  </w:endnote>
  <w:endnote w:type="continuationSeparator" w:id="0">
    <w:p w14:paraId="41388F97" w14:textId="77777777" w:rsidR="00CE2EF3" w:rsidRDefault="00CE2EF3" w:rsidP="00CE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D5F5" w14:textId="08F67A85" w:rsidR="001B220C" w:rsidRPr="001B220C" w:rsidRDefault="001B220C" w:rsidP="001B220C">
    <w:pPr>
      <w:spacing w:after="0" w:line="240" w:lineRule="auto"/>
      <w:jc w:val="center"/>
    </w:pPr>
    <w:r w:rsidRPr="001B220C">
      <w:t xml:space="preserve">ISME Irish SME Association </w:t>
    </w:r>
  </w:p>
  <w:p w14:paraId="4907F3B7" w14:textId="5CE0E8C4" w:rsidR="001B220C" w:rsidRPr="001B220C" w:rsidRDefault="001B220C" w:rsidP="001B220C">
    <w:pPr>
      <w:spacing w:after="0" w:line="240" w:lineRule="auto"/>
      <w:jc w:val="center"/>
      <w:rPr>
        <w:lang w:val="en-US"/>
      </w:rPr>
    </w:pPr>
    <w:r w:rsidRPr="001B220C">
      <w:t>17 Kildare Street Dublin 2</w:t>
    </w:r>
  </w:p>
  <w:p w14:paraId="511D99E8" w14:textId="77777777" w:rsidR="001B220C" w:rsidRPr="001B220C" w:rsidRDefault="001B220C" w:rsidP="001B220C">
    <w:pPr>
      <w:spacing w:after="0" w:line="240" w:lineRule="auto"/>
      <w:jc w:val="center"/>
      <w:rPr>
        <w:lang w:val="it-IT"/>
      </w:rPr>
    </w:pPr>
    <w:r w:rsidRPr="001B220C">
      <w:rPr>
        <w:lang w:val="it-IT"/>
      </w:rPr>
      <w:t xml:space="preserve">E: </w:t>
    </w:r>
    <w:r>
      <w:fldChar w:fldCharType="begin"/>
    </w:r>
    <w:r w:rsidRPr="00D57934">
      <w:rPr>
        <w:lang w:val="it-IT"/>
      </w:rPr>
      <w:instrText>HYPERLINK "mailto:hr@isme.ie"</w:instrText>
    </w:r>
    <w:r>
      <w:fldChar w:fldCharType="separate"/>
    </w:r>
    <w:r w:rsidRPr="001B220C">
      <w:rPr>
        <w:rStyle w:val="Hyperlink"/>
        <w:color w:val="auto"/>
        <w:lang w:val="it-IT"/>
      </w:rPr>
      <w:t>hr@isme.ie</w:t>
    </w:r>
    <w:r>
      <w:fldChar w:fldCharType="end"/>
    </w:r>
    <w:r w:rsidRPr="001B220C">
      <w:rPr>
        <w:lang w:val="it-IT"/>
      </w:rPr>
      <w:t xml:space="preserve">      Web: </w:t>
    </w:r>
    <w:hyperlink r:id="rId1" w:history="1">
      <w:r w:rsidRPr="001B220C">
        <w:rPr>
          <w:rStyle w:val="Hyperlink"/>
          <w:color w:val="auto"/>
          <w:lang w:val="it-IT"/>
        </w:rPr>
        <w:t>www.isme.ie</w:t>
      </w:r>
    </w:hyperlink>
    <w:r w:rsidRPr="001B220C">
      <w:rPr>
        <w:lang w:val="it-IT"/>
      </w:rPr>
      <w:t xml:space="preserve"> </w:t>
    </w:r>
  </w:p>
  <w:p w14:paraId="77A63EBB" w14:textId="77777777" w:rsidR="001B220C" w:rsidRPr="001B220C" w:rsidRDefault="001B220C" w:rsidP="001B220C">
    <w:pPr>
      <w:pBdr>
        <w:top w:val="nil"/>
        <w:left w:val="nil"/>
        <w:bottom w:val="nil"/>
        <w:right w:val="nil"/>
        <w:between w:val="nil"/>
      </w:pBdr>
      <w:tabs>
        <w:tab w:val="center" w:pos="4513"/>
        <w:tab w:val="right" w:pos="9026"/>
      </w:tabs>
      <w:spacing w:after="0" w:line="240" w:lineRule="auto"/>
      <w:rPr>
        <w:color w:val="000000"/>
        <w:lang w:val="it-IT"/>
      </w:rPr>
    </w:pPr>
  </w:p>
  <w:p w14:paraId="5FE6C5A5" w14:textId="77777777" w:rsidR="001B220C" w:rsidRPr="001B220C" w:rsidRDefault="001B220C">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1AAF7" w14:textId="77777777" w:rsidR="00CE2EF3" w:rsidRDefault="00CE2EF3" w:rsidP="00CE2EF3">
      <w:pPr>
        <w:spacing w:after="0" w:line="240" w:lineRule="auto"/>
      </w:pPr>
      <w:r>
        <w:separator/>
      </w:r>
    </w:p>
  </w:footnote>
  <w:footnote w:type="continuationSeparator" w:id="0">
    <w:p w14:paraId="0B8AC1CE" w14:textId="77777777" w:rsidR="00CE2EF3" w:rsidRDefault="00CE2EF3" w:rsidP="00CE2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403D" w14:textId="56103644" w:rsidR="00CE2EF3" w:rsidRDefault="00CE2EF3">
    <w:pPr>
      <w:pStyle w:val="Header"/>
    </w:pPr>
    <w:r w:rsidRPr="0098616F">
      <w:rPr>
        <w:noProof/>
      </w:rPr>
      <w:drawing>
        <wp:inline distT="0" distB="0" distL="0" distR="0" wp14:anchorId="46FEC205" wp14:editId="36660233">
          <wp:extent cx="54864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10F"/>
    <w:multiLevelType w:val="hybridMultilevel"/>
    <w:tmpl w:val="B002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001C"/>
    <w:multiLevelType w:val="hybridMultilevel"/>
    <w:tmpl w:val="9CF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75E7F"/>
    <w:multiLevelType w:val="hybridMultilevel"/>
    <w:tmpl w:val="F6D87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E842C8"/>
    <w:multiLevelType w:val="multilevel"/>
    <w:tmpl w:val="4670B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905C75"/>
    <w:multiLevelType w:val="hybridMultilevel"/>
    <w:tmpl w:val="7744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85781"/>
    <w:multiLevelType w:val="hybridMultilevel"/>
    <w:tmpl w:val="9598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71B9C"/>
    <w:multiLevelType w:val="hybridMultilevel"/>
    <w:tmpl w:val="CCDC9C2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15:restartNumberingAfterBreak="0">
    <w:nsid w:val="6A6D2FEC"/>
    <w:multiLevelType w:val="hybridMultilevel"/>
    <w:tmpl w:val="39F6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B46F4"/>
    <w:multiLevelType w:val="multilevel"/>
    <w:tmpl w:val="9B6028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D9C4FDC"/>
    <w:multiLevelType w:val="hybridMultilevel"/>
    <w:tmpl w:val="C00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312B1"/>
    <w:multiLevelType w:val="hybridMultilevel"/>
    <w:tmpl w:val="68CE097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16864553">
    <w:abstractNumId w:val="10"/>
  </w:num>
  <w:num w:numId="2" w16cid:durableId="1518616246">
    <w:abstractNumId w:val="0"/>
  </w:num>
  <w:num w:numId="3" w16cid:durableId="150175201">
    <w:abstractNumId w:val="7"/>
  </w:num>
  <w:num w:numId="4" w16cid:durableId="1762138673">
    <w:abstractNumId w:val="1"/>
  </w:num>
  <w:num w:numId="5" w16cid:durableId="1632053533">
    <w:abstractNumId w:val="8"/>
  </w:num>
  <w:num w:numId="6" w16cid:durableId="1183281690">
    <w:abstractNumId w:val="2"/>
  </w:num>
  <w:num w:numId="7" w16cid:durableId="188224810">
    <w:abstractNumId w:val="4"/>
  </w:num>
  <w:num w:numId="8" w16cid:durableId="60711548">
    <w:abstractNumId w:val="9"/>
  </w:num>
  <w:num w:numId="9" w16cid:durableId="1955287790">
    <w:abstractNumId w:val="6"/>
  </w:num>
  <w:num w:numId="10" w16cid:durableId="936131859">
    <w:abstractNumId w:val="3"/>
  </w:num>
  <w:num w:numId="11" w16cid:durableId="833377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3"/>
    <w:rsid w:val="000055A7"/>
    <w:rsid w:val="0003078E"/>
    <w:rsid w:val="00047B06"/>
    <w:rsid w:val="00055CCA"/>
    <w:rsid w:val="000B1DB4"/>
    <w:rsid w:val="00111A3E"/>
    <w:rsid w:val="00112A8F"/>
    <w:rsid w:val="0013186F"/>
    <w:rsid w:val="00131BC6"/>
    <w:rsid w:val="00173D7C"/>
    <w:rsid w:val="001943FD"/>
    <w:rsid w:val="001A569E"/>
    <w:rsid w:val="001B1F08"/>
    <w:rsid w:val="001B220C"/>
    <w:rsid w:val="001B7D72"/>
    <w:rsid w:val="001C3123"/>
    <w:rsid w:val="001F41DA"/>
    <w:rsid w:val="0021551C"/>
    <w:rsid w:val="002509D2"/>
    <w:rsid w:val="0027250E"/>
    <w:rsid w:val="00282946"/>
    <w:rsid w:val="002E4AEB"/>
    <w:rsid w:val="003643FD"/>
    <w:rsid w:val="00372966"/>
    <w:rsid w:val="00390240"/>
    <w:rsid w:val="003B2415"/>
    <w:rsid w:val="003B41E6"/>
    <w:rsid w:val="003D0B2E"/>
    <w:rsid w:val="003D6978"/>
    <w:rsid w:val="003D6BFF"/>
    <w:rsid w:val="003F763D"/>
    <w:rsid w:val="00427C6F"/>
    <w:rsid w:val="00440479"/>
    <w:rsid w:val="004A47BE"/>
    <w:rsid w:val="004B5803"/>
    <w:rsid w:val="004C23D5"/>
    <w:rsid w:val="004E032E"/>
    <w:rsid w:val="00502141"/>
    <w:rsid w:val="00503B90"/>
    <w:rsid w:val="00512CE7"/>
    <w:rsid w:val="005456A4"/>
    <w:rsid w:val="00556503"/>
    <w:rsid w:val="00577144"/>
    <w:rsid w:val="005B3F8B"/>
    <w:rsid w:val="005D41B0"/>
    <w:rsid w:val="005D5DFD"/>
    <w:rsid w:val="00627C8A"/>
    <w:rsid w:val="006D1771"/>
    <w:rsid w:val="00701221"/>
    <w:rsid w:val="0073366D"/>
    <w:rsid w:val="00742E0C"/>
    <w:rsid w:val="007737E4"/>
    <w:rsid w:val="00783112"/>
    <w:rsid w:val="007D367A"/>
    <w:rsid w:val="007D4F8C"/>
    <w:rsid w:val="007E7419"/>
    <w:rsid w:val="007F3BB5"/>
    <w:rsid w:val="007F6187"/>
    <w:rsid w:val="008009A9"/>
    <w:rsid w:val="0080198A"/>
    <w:rsid w:val="00814C5E"/>
    <w:rsid w:val="00832140"/>
    <w:rsid w:val="008321C6"/>
    <w:rsid w:val="00832CC7"/>
    <w:rsid w:val="00833ACE"/>
    <w:rsid w:val="00847289"/>
    <w:rsid w:val="0088108D"/>
    <w:rsid w:val="00894A1D"/>
    <w:rsid w:val="0090745B"/>
    <w:rsid w:val="00924F80"/>
    <w:rsid w:val="009300AD"/>
    <w:rsid w:val="009404F0"/>
    <w:rsid w:val="00946425"/>
    <w:rsid w:val="00964002"/>
    <w:rsid w:val="00966B27"/>
    <w:rsid w:val="00980648"/>
    <w:rsid w:val="00984E69"/>
    <w:rsid w:val="009A33C8"/>
    <w:rsid w:val="009A7E78"/>
    <w:rsid w:val="009E3647"/>
    <w:rsid w:val="009F7654"/>
    <w:rsid w:val="00AA0ED8"/>
    <w:rsid w:val="00AB59F7"/>
    <w:rsid w:val="00B14535"/>
    <w:rsid w:val="00B65A47"/>
    <w:rsid w:val="00B81D58"/>
    <w:rsid w:val="00BA5F73"/>
    <w:rsid w:val="00BB2643"/>
    <w:rsid w:val="00BB3EB4"/>
    <w:rsid w:val="00BD7318"/>
    <w:rsid w:val="00BE29E0"/>
    <w:rsid w:val="00C04EB0"/>
    <w:rsid w:val="00C14239"/>
    <w:rsid w:val="00C14865"/>
    <w:rsid w:val="00C631AF"/>
    <w:rsid w:val="00C648C7"/>
    <w:rsid w:val="00C83102"/>
    <w:rsid w:val="00C858E6"/>
    <w:rsid w:val="00C95A52"/>
    <w:rsid w:val="00CB4041"/>
    <w:rsid w:val="00CD57C4"/>
    <w:rsid w:val="00CE2EF3"/>
    <w:rsid w:val="00D0664B"/>
    <w:rsid w:val="00D30D82"/>
    <w:rsid w:val="00D57934"/>
    <w:rsid w:val="00D743D2"/>
    <w:rsid w:val="00D9694E"/>
    <w:rsid w:val="00DC3E05"/>
    <w:rsid w:val="00DE1876"/>
    <w:rsid w:val="00DE224D"/>
    <w:rsid w:val="00DF25E8"/>
    <w:rsid w:val="00E943F5"/>
    <w:rsid w:val="00F123F7"/>
    <w:rsid w:val="00F15CC1"/>
    <w:rsid w:val="00FA1A02"/>
    <w:rsid w:val="00FC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1C39F"/>
  <w15:chartTrackingRefBased/>
  <w15:docId w15:val="{0C2B3FD4-D885-411A-A80A-B06DF196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F3"/>
    <w:pPr>
      <w:spacing w:after="200" w:line="276" w:lineRule="auto"/>
    </w:pPr>
    <w:rPr>
      <w:kern w:val="0"/>
      <w:sz w:val="22"/>
      <w:szCs w:val="22"/>
      <w:lang w:val="en-IE"/>
      <w14:ligatures w14:val="none"/>
    </w:rPr>
  </w:style>
  <w:style w:type="paragraph" w:styleId="Heading1">
    <w:name w:val="heading 1"/>
    <w:basedOn w:val="Normal"/>
    <w:next w:val="Normal"/>
    <w:link w:val="Heading1Char"/>
    <w:uiPriority w:val="9"/>
    <w:qFormat/>
    <w:rsid w:val="00CE2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EF3"/>
    <w:rPr>
      <w:rFonts w:eastAsiaTheme="majorEastAsia" w:cstheme="majorBidi"/>
      <w:color w:val="272727" w:themeColor="text1" w:themeTint="D8"/>
    </w:rPr>
  </w:style>
  <w:style w:type="paragraph" w:styleId="Title">
    <w:name w:val="Title"/>
    <w:basedOn w:val="Normal"/>
    <w:next w:val="Normal"/>
    <w:link w:val="TitleChar"/>
    <w:uiPriority w:val="10"/>
    <w:qFormat/>
    <w:rsid w:val="00CE2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EF3"/>
    <w:pPr>
      <w:spacing w:before="160"/>
      <w:jc w:val="center"/>
    </w:pPr>
    <w:rPr>
      <w:i/>
      <w:iCs/>
      <w:color w:val="404040" w:themeColor="text1" w:themeTint="BF"/>
    </w:rPr>
  </w:style>
  <w:style w:type="character" w:customStyle="1" w:styleId="QuoteChar">
    <w:name w:val="Quote Char"/>
    <w:basedOn w:val="DefaultParagraphFont"/>
    <w:link w:val="Quote"/>
    <w:uiPriority w:val="29"/>
    <w:rsid w:val="00CE2EF3"/>
    <w:rPr>
      <w:i/>
      <w:iCs/>
      <w:color w:val="404040" w:themeColor="text1" w:themeTint="BF"/>
    </w:rPr>
  </w:style>
  <w:style w:type="paragraph" w:styleId="ListParagraph">
    <w:name w:val="List Paragraph"/>
    <w:basedOn w:val="Normal"/>
    <w:uiPriority w:val="34"/>
    <w:qFormat/>
    <w:rsid w:val="00CE2EF3"/>
    <w:pPr>
      <w:ind w:left="720"/>
      <w:contextualSpacing/>
    </w:pPr>
  </w:style>
  <w:style w:type="character" w:styleId="IntenseEmphasis">
    <w:name w:val="Intense Emphasis"/>
    <w:basedOn w:val="DefaultParagraphFont"/>
    <w:uiPriority w:val="21"/>
    <w:qFormat/>
    <w:rsid w:val="00CE2EF3"/>
    <w:rPr>
      <w:i/>
      <w:iCs/>
      <w:color w:val="0F4761" w:themeColor="accent1" w:themeShade="BF"/>
    </w:rPr>
  </w:style>
  <w:style w:type="paragraph" w:styleId="IntenseQuote">
    <w:name w:val="Intense Quote"/>
    <w:basedOn w:val="Normal"/>
    <w:next w:val="Normal"/>
    <w:link w:val="IntenseQuoteChar"/>
    <w:uiPriority w:val="30"/>
    <w:qFormat/>
    <w:rsid w:val="00CE2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EF3"/>
    <w:rPr>
      <w:i/>
      <w:iCs/>
      <w:color w:val="0F4761" w:themeColor="accent1" w:themeShade="BF"/>
    </w:rPr>
  </w:style>
  <w:style w:type="character" w:styleId="IntenseReference">
    <w:name w:val="Intense Reference"/>
    <w:basedOn w:val="DefaultParagraphFont"/>
    <w:uiPriority w:val="32"/>
    <w:qFormat/>
    <w:rsid w:val="00CE2EF3"/>
    <w:rPr>
      <w:b/>
      <w:bCs/>
      <w:smallCaps/>
      <w:color w:val="0F4761" w:themeColor="accent1" w:themeShade="BF"/>
      <w:spacing w:val="5"/>
    </w:rPr>
  </w:style>
  <w:style w:type="paragraph" w:styleId="Header">
    <w:name w:val="header"/>
    <w:basedOn w:val="Normal"/>
    <w:link w:val="HeaderChar"/>
    <w:uiPriority w:val="99"/>
    <w:unhideWhenUsed/>
    <w:rsid w:val="00CE2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EF3"/>
  </w:style>
  <w:style w:type="paragraph" w:styleId="Footer">
    <w:name w:val="footer"/>
    <w:basedOn w:val="Normal"/>
    <w:link w:val="FooterChar"/>
    <w:uiPriority w:val="99"/>
    <w:unhideWhenUsed/>
    <w:rsid w:val="00CE2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F3"/>
  </w:style>
  <w:style w:type="character" w:customStyle="1" w:styleId="InitialStyle">
    <w:name w:val="InitialStyle"/>
    <w:rsid w:val="00CE2EF3"/>
  </w:style>
  <w:style w:type="paragraph" w:customStyle="1" w:styleId="DefaultText">
    <w:name w:val="Default Text"/>
    <w:basedOn w:val="Normal"/>
    <w:rsid w:val="00CE2EF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IE"/>
    </w:rPr>
  </w:style>
  <w:style w:type="character" w:styleId="Hyperlink">
    <w:name w:val="Hyperlink"/>
    <w:basedOn w:val="DefaultParagraphFont"/>
    <w:uiPriority w:val="99"/>
    <w:unhideWhenUsed/>
    <w:rsid w:val="001B220C"/>
    <w:rPr>
      <w:color w:val="467886" w:themeColor="hyperlink"/>
      <w:u w:val="single"/>
    </w:rPr>
  </w:style>
  <w:style w:type="character" w:styleId="UnresolvedMention">
    <w:name w:val="Unresolved Mention"/>
    <w:basedOn w:val="DefaultParagraphFont"/>
    <w:uiPriority w:val="99"/>
    <w:semiHidden/>
    <w:unhideWhenUsed/>
    <w:rsid w:val="001B220C"/>
    <w:rPr>
      <w:color w:val="605E5C"/>
      <w:shd w:val="clear" w:color="auto" w:fill="E1DFDD"/>
    </w:rPr>
  </w:style>
  <w:style w:type="table" w:styleId="TableGrid">
    <w:name w:val="Table Grid"/>
    <w:basedOn w:val="TableNormal"/>
    <w:uiPriority w:val="39"/>
    <w:rsid w:val="00C6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0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59588">
      <w:bodyDiv w:val="1"/>
      <w:marLeft w:val="0"/>
      <w:marRight w:val="0"/>
      <w:marTop w:val="0"/>
      <w:marBottom w:val="0"/>
      <w:divBdr>
        <w:top w:val="none" w:sz="0" w:space="0" w:color="auto"/>
        <w:left w:val="none" w:sz="0" w:space="0" w:color="auto"/>
        <w:bottom w:val="none" w:sz="0" w:space="0" w:color="auto"/>
        <w:right w:val="none" w:sz="0" w:space="0" w:color="auto"/>
      </w:divBdr>
    </w:div>
    <w:div w:id="19141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sme.ie/members-area/hr-hub/performance-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sm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Ellis</dc:creator>
  <cp:keywords/>
  <dc:description/>
  <cp:lastModifiedBy>Michelle Ellis</cp:lastModifiedBy>
  <cp:revision>4</cp:revision>
  <dcterms:created xsi:type="dcterms:W3CDTF">2025-04-14T09:07:00Z</dcterms:created>
  <dcterms:modified xsi:type="dcterms:W3CDTF">2025-04-14T09:11:00Z</dcterms:modified>
</cp:coreProperties>
</file>