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B80C0" w14:textId="5F9B8678" w:rsidR="00CE4229" w:rsidRDefault="006C6783" w:rsidP="00CE422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C7477">
        <w:rPr>
          <w:rFonts w:ascii="Calibri" w:hAnsi="Calibri" w:cs="Calibri"/>
          <w:b/>
          <w:bCs/>
          <w:sz w:val="28"/>
          <w:szCs w:val="28"/>
        </w:rPr>
        <w:t>Capability versus Conduct</w:t>
      </w:r>
    </w:p>
    <w:p w14:paraId="66F8DF7C" w14:textId="77777777" w:rsidR="00CE4229" w:rsidRPr="009C7477" w:rsidRDefault="00CE4229" w:rsidP="00CE422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BE45306" w14:textId="1C013AB2" w:rsidR="00A71A6A" w:rsidRPr="006E7526" w:rsidRDefault="00471F81" w:rsidP="000D452E">
      <w:pPr>
        <w:contextualSpacing/>
        <w:mirrorIndents/>
        <w:rPr>
          <w:rFonts w:ascii="Calibri" w:hAnsi="Calibri" w:cs="Calibri"/>
        </w:rPr>
      </w:pPr>
      <w:r w:rsidRPr="006E7526">
        <w:rPr>
          <w:rFonts w:ascii="Calibri" w:hAnsi="Calibri" w:cs="Calibri"/>
        </w:rPr>
        <w:t>The ISME HR Team have seen a trend develop on this particular area of HR</w:t>
      </w:r>
      <w:r w:rsidR="00CE1B55" w:rsidRPr="006E7526">
        <w:rPr>
          <w:rFonts w:ascii="Calibri" w:hAnsi="Calibri" w:cs="Calibri"/>
        </w:rPr>
        <w:t xml:space="preserve"> therefore clarification is </w:t>
      </w:r>
      <w:r w:rsidR="005B7B40" w:rsidRPr="006E7526">
        <w:rPr>
          <w:rFonts w:ascii="Calibri" w:hAnsi="Calibri" w:cs="Calibri"/>
        </w:rPr>
        <w:t>important</w:t>
      </w:r>
      <w:r w:rsidRPr="006E7526">
        <w:rPr>
          <w:rFonts w:ascii="Calibri" w:hAnsi="Calibri" w:cs="Calibri"/>
        </w:rPr>
        <w:t>.</w:t>
      </w:r>
      <w:r w:rsidR="0049458F" w:rsidRPr="006E7526">
        <w:rPr>
          <w:rFonts w:ascii="Calibri" w:hAnsi="Calibri" w:cs="Calibri"/>
        </w:rPr>
        <w:t xml:space="preserve"> Furthermore, c</w:t>
      </w:r>
      <w:r w:rsidR="00A71A6A" w:rsidRPr="006E7526">
        <w:rPr>
          <w:rFonts w:ascii="Calibri" w:hAnsi="Calibri" w:cs="Calibri"/>
        </w:rPr>
        <w:t>larif</w:t>
      </w:r>
      <w:r w:rsidR="00CE4229" w:rsidRPr="006E7526">
        <w:rPr>
          <w:rFonts w:ascii="Calibri" w:hAnsi="Calibri" w:cs="Calibri"/>
        </w:rPr>
        <w:t>y</w:t>
      </w:r>
      <w:r w:rsidR="00957EC1" w:rsidRPr="006E7526">
        <w:rPr>
          <w:rFonts w:ascii="Calibri" w:hAnsi="Calibri" w:cs="Calibri"/>
        </w:rPr>
        <w:t>ing</w:t>
      </w:r>
      <w:r w:rsidR="00A71A6A" w:rsidRPr="006E7526">
        <w:rPr>
          <w:rFonts w:ascii="Calibri" w:hAnsi="Calibri" w:cs="Calibri"/>
        </w:rPr>
        <w:t xml:space="preserve"> the </w:t>
      </w:r>
      <w:r w:rsidR="00030330" w:rsidRPr="006E7526">
        <w:rPr>
          <w:rFonts w:ascii="Calibri" w:hAnsi="Calibri" w:cs="Calibri"/>
        </w:rPr>
        <w:t>d</w:t>
      </w:r>
      <w:r w:rsidR="00A71A6A" w:rsidRPr="006E7526">
        <w:rPr>
          <w:rFonts w:ascii="Calibri" w:hAnsi="Calibri" w:cs="Calibri"/>
        </w:rPr>
        <w:t xml:space="preserve">istinction </w:t>
      </w:r>
      <w:r w:rsidR="00030330" w:rsidRPr="006E7526">
        <w:rPr>
          <w:rFonts w:ascii="Calibri" w:hAnsi="Calibri" w:cs="Calibri"/>
        </w:rPr>
        <w:t>b</w:t>
      </w:r>
      <w:r w:rsidR="00A71A6A" w:rsidRPr="006E7526">
        <w:rPr>
          <w:rFonts w:ascii="Calibri" w:hAnsi="Calibri" w:cs="Calibri"/>
        </w:rPr>
        <w:t xml:space="preserve">etween Capability and Conduct in </w:t>
      </w:r>
      <w:r w:rsidR="00030330" w:rsidRPr="006E7526">
        <w:rPr>
          <w:rFonts w:ascii="Calibri" w:hAnsi="Calibri" w:cs="Calibri"/>
        </w:rPr>
        <w:t>m</w:t>
      </w:r>
      <w:r w:rsidR="00A71A6A" w:rsidRPr="006E7526">
        <w:rPr>
          <w:rFonts w:ascii="Calibri" w:hAnsi="Calibri" w:cs="Calibri"/>
        </w:rPr>
        <w:t>anaging Staff Performance and Disciplinary Issues</w:t>
      </w:r>
      <w:r w:rsidR="0049458F" w:rsidRPr="006E7526">
        <w:rPr>
          <w:rFonts w:ascii="Calibri" w:hAnsi="Calibri" w:cs="Calibri"/>
        </w:rPr>
        <w:t xml:space="preserve"> should be the first step</w:t>
      </w:r>
      <w:r w:rsidR="0079017B" w:rsidRPr="006E7526">
        <w:rPr>
          <w:rFonts w:ascii="Calibri" w:hAnsi="Calibri" w:cs="Calibri"/>
        </w:rPr>
        <w:t>. The a</w:t>
      </w:r>
      <w:r w:rsidR="0079017B" w:rsidRPr="006E7526">
        <w:rPr>
          <w:rFonts w:ascii="Calibri" w:hAnsi="Calibri" w:cs="Calibri"/>
        </w:rPr>
        <w:t>ppropriate intervention—be it support or discipline—</w:t>
      </w:r>
      <w:r w:rsidR="00983F5A" w:rsidRPr="006E7526">
        <w:rPr>
          <w:rFonts w:ascii="Calibri" w:hAnsi="Calibri" w:cs="Calibri"/>
        </w:rPr>
        <w:t xml:space="preserve"> ultimately </w:t>
      </w:r>
      <w:r w:rsidR="0079017B" w:rsidRPr="006E7526">
        <w:rPr>
          <w:rFonts w:ascii="Calibri" w:hAnsi="Calibri" w:cs="Calibri"/>
        </w:rPr>
        <w:t>depends on correctly diagnosing the underlying issue.</w:t>
      </w:r>
    </w:p>
    <w:p w14:paraId="3EC5A047" w14:textId="77777777" w:rsidR="00C04F75" w:rsidRPr="006E7526" w:rsidRDefault="00C04F75" w:rsidP="000D452E">
      <w:pPr>
        <w:contextualSpacing/>
        <w:mirrorIndents/>
        <w:rPr>
          <w:rFonts w:ascii="Calibri" w:hAnsi="Calibri" w:cs="Calibri"/>
          <w:color w:val="215E99" w:themeColor="text2" w:themeTint="BF"/>
        </w:rPr>
      </w:pPr>
    </w:p>
    <w:p w14:paraId="5A9168FA" w14:textId="77777777" w:rsidR="000E0D7F" w:rsidRPr="000E0D7F" w:rsidRDefault="000E0D7F" w:rsidP="000D452E">
      <w:pPr>
        <w:contextualSpacing/>
        <w:mirrorIndents/>
        <w:rPr>
          <w:rFonts w:ascii="Calibri" w:hAnsi="Calibri" w:cs="Calibri"/>
          <w:lang w:val="en-GB"/>
        </w:rPr>
      </w:pPr>
      <w:r w:rsidRPr="000E0D7F">
        <w:rPr>
          <w:rFonts w:ascii="Calibri" w:hAnsi="Calibri" w:cs="Calibri"/>
          <w:b/>
          <w:color w:val="215E99" w:themeColor="text2" w:themeTint="BF"/>
          <w:u w:val="single"/>
          <w:lang w:val="en-GB"/>
        </w:rPr>
        <w:t>Capability</w:t>
      </w:r>
      <w:r w:rsidRPr="000E0D7F">
        <w:rPr>
          <w:rFonts w:ascii="Calibri" w:hAnsi="Calibri" w:cs="Calibri"/>
          <w:b/>
          <w:color w:val="215E99" w:themeColor="text2" w:themeTint="BF"/>
          <w:lang w:val="en-GB"/>
        </w:rPr>
        <w:t>:</w:t>
      </w:r>
      <w:r w:rsidRPr="000E0D7F">
        <w:rPr>
          <w:rFonts w:ascii="Calibri" w:hAnsi="Calibri" w:cs="Calibri"/>
          <w:color w:val="215E99" w:themeColor="text2" w:themeTint="BF"/>
          <w:lang w:val="en-GB"/>
        </w:rPr>
        <w:t xml:space="preserve"> </w:t>
      </w:r>
      <w:r w:rsidRPr="000E0D7F">
        <w:rPr>
          <w:rFonts w:ascii="Calibri" w:hAnsi="Calibri" w:cs="Calibri"/>
          <w:lang w:val="en-GB"/>
        </w:rPr>
        <w:t xml:space="preserve">Refers to an employee’s </w:t>
      </w:r>
      <w:r w:rsidRPr="000E0D7F">
        <w:rPr>
          <w:rFonts w:ascii="Calibri" w:hAnsi="Calibri" w:cs="Calibri"/>
          <w:b/>
          <w:bCs/>
          <w:lang w:val="en-GB"/>
        </w:rPr>
        <w:t>inability</w:t>
      </w:r>
      <w:r w:rsidRPr="000E0D7F">
        <w:rPr>
          <w:rFonts w:ascii="Calibri" w:hAnsi="Calibri" w:cs="Calibri"/>
          <w:lang w:val="en-GB"/>
        </w:rPr>
        <w:t xml:space="preserve"> to meet performance expectations, often due to factors like skills gaps, insufficient training, or health concerns.</w:t>
      </w:r>
    </w:p>
    <w:p w14:paraId="1775154A" w14:textId="77777777" w:rsidR="000E0D7F" w:rsidRPr="000E0D7F" w:rsidRDefault="000E0D7F" w:rsidP="000D452E">
      <w:pPr>
        <w:contextualSpacing/>
        <w:mirrorIndents/>
        <w:rPr>
          <w:rFonts w:ascii="Calibri" w:hAnsi="Calibri" w:cs="Calibri"/>
          <w:lang w:val="en-GB"/>
        </w:rPr>
      </w:pPr>
      <w:r w:rsidRPr="000E0D7F">
        <w:rPr>
          <w:rFonts w:ascii="Calibri" w:hAnsi="Calibri" w:cs="Calibri"/>
          <w:b/>
          <w:bCs/>
          <w:lang w:val="en-GB"/>
        </w:rPr>
        <w:t>Example:</w:t>
      </w:r>
      <w:r w:rsidRPr="000E0D7F">
        <w:rPr>
          <w:rFonts w:ascii="Calibri" w:hAnsi="Calibri" w:cs="Calibri"/>
          <w:lang w:val="en-GB"/>
        </w:rPr>
        <w:t xml:space="preserve"> Struggling to meet role requirements despite genuine effort.</w:t>
      </w:r>
    </w:p>
    <w:p w14:paraId="01BE82E4" w14:textId="7D593590" w:rsidR="000E0D7F" w:rsidRPr="000E0D7F" w:rsidRDefault="000E0D7F" w:rsidP="000D452E">
      <w:pPr>
        <w:contextualSpacing/>
        <w:mirrorIndents/>
        <w:rPr>
          <w:rFonts w:ascii="Calibri" w:hAnsi="Calibri" w:cs="Calibri"/>
          <w:lang w:val="en-GB"/>
        </w:rPr>
      </w:pPr>
      <w:r w:rsidRPr="000E0D7F">
        <w:rPr>
          <w:rFonts w:ascii="Calibri" w:hAnsi="Calibri" w:cs="Calibri"/>
          <w:b/>
          <w:color w:val="215E99" w:themeColor="text2" w:themeTint="BF"/>
          <w:u w:val="single"/>
          <w:lang w:val="en-GB"/>
        </w:rPr>
        <w:t>Conduct</w:t>
      </w:r>
      <w:r w:rsidRPr="000E0D7F">
        <w:rPr>
          <w:rFonts w:ascii="Calibri" w:hAnsi="Calibri" w:cs="Calibri"/>
          <w:b/>
          <w:color w:val="215E99" w:themeColor="text2" w:themeTint="BF"/>
          <w:lang w:val="en-GB"/>
        </w:rPr>
        <w:t>:</w:t>
      </w:r>
      <w:r w:rsidRPr="000E0D7F">
        <w:rPr>
          <w:rFonts w:ascii="Calibri" w:hAnsi="Calibri" w:cs="Calibri"/>
          <w:color w:val="215E99" w:themeColor="text2" w:themeTint="BF"/>
          <w:lang w:val="en-GB"/>
        </w:rPr>
        <w:t xml:space="preserve"> </w:t>
      </w:r>
      <w:r w:rsidRPr="000E0D7F">
        <w:rPr>
          <w:rFonts w:ascii="Calibri" w:hAnsi="Calibri" w:cs="Calibri"/>
          <w:lang w:val="en-GB"/>
        </w:rPr>
        <w:t xml:space="preserve">Relates to an employee’s </w:t>
      </w:r>
      <w:r w:rsidRPr="000E0D7F">
        <w:rPr>
          <w:rFonts w:ascii="Calibri" w:hAnsi="Calibri" w:cs="Calibri"/>
          <w:b/>
          <w:bCs/>
          <w:lang w:val="en-GB"/>
        </w:rPr>
        <w:t>unwillingness</w:t>
      </w:r>
      <w:r w:rsidRPr="000E0D7F">
        <w:rPr>
          <w:rFonts w:ascii="Calibri" w:hAnsi="Calibri" w:cs="Calibri"/>
          <w:lang w:val="en-GB"/>
        </w:rPr>
        <w:t xml:space="preserve"> to comply with job requirements, often evidenced by </w:t>
      </w:r>
      <w:r w:rsidR="00C04F75" w:rsidRPr="006E7526">
        <w:rPr>
          <w:rFonts w:ascii="Calibri" w:hAnsi="Calibri" w:cs="Calibri"/>
          <w:lang w:val="en-GB"/>
        </w:rPr>
        <w:t>behavioural</w:t>
      </w:r>
      <w:r w:rsidRPr="000E0D7F">
        <w:rPr>
          <w:rFonts w:ascii="Calibri" w:hAnsi="Calibri" w:cs="Calibri"/>
          <w:lang w:val="en-GB"/>
        </w:rPr>
        <w:t xml:space="preserve"> issues or failure to adhere to established norms.</w:t>
      </w:r>
    </w:p>
    <w:p w14:paraId="04B0117D" w14:textId="77777777" w:rsidR="000E0D7F" w:rsidRPr="000E0D7F" w:rsidRDefault="000E0D7F" w:rsidP="000D452E">
      <w:pPr>
        <w:contextualSpacing/>
        <w:mirrorIndents/>
        <w:rPr>
          <w:rFonts w:ascii="Calibri" w:hAnsi="Calibri" w:cs="Calibri"/>
          <w:lang w:val="en-GB"/>
        </w:rPr>
      </w:pPr>
      <w:r w:rsidRPr="000E0D7F">
        <w:rPr>
          <w:rFonts w:ascii="Calibri" w:hAnsi="Calibri" w:cs="Calibri"/>
          <w:b/>
          <w:bCs/>
          <w:lang w:val="en-GB"/>
        </w:rPr>
        <w:t>Example:</w:t>
      </w:r>
      <w:r w:rsidRPr="000E0D7F">
        <w:rPr>
          <w:rFonts w:ascii="Calibri" w:hAnsi="Calibri" w:cs="Calibri"/>
          <w:lang w:val="en-GB"/>
        </w:rPr>
        <w:t xml:space="preserve"> Refusing to follow workplace protocols or insubordination.</w:t>
      </w:r>
    </w:p>
    <w:p w14:paraId="4C84D163" w14:textId="77777777" w:rsidR="000E0D7F" w:rsidRPr="006E7526" w:rsidRDefault="000E0D7F" w:rsidP="000D452E">
      <w:pPr>
        <w:contextualSpacing/>
        <w:mirrorIndents/>
        <w:rPr>
          <w:rFonts w:ascii="Calibri" w:hAnsi="Calibri" w:cs="Calibri"/>
          <w:b/>
          <w:bCs/>
          <w:lang w:val="en-GB"/>
        </w:rPr>
      </w:pPr>
    </w:p>
    <w:p w14:paraId="2E7CD9CC" w14:textId="4FDC0E91" w:rsidR="0079017B" w:rsidRPr="006E7526" w:rsidRDefault="0093479D" w:rsidP="000D452E">
      <w:pPr>
        <w:contextualSpacing/>
        <w:mirrorIndents/>
        <w:rPr>
          <w:rFonts w:ascii="Calibri" w:hAnsi="Calibri" w:cs="Calibri"/>
          <w:b/>
          <w:bCs/>
        </w:rPr>
      </w:pPr>
      <w:r w:rsidRPr="006E7526">
        <w:rPr>
          <w:rFonts w:ascii="Calibri" w:hAnsi="Calibri" w:cs="Calibri"/>
          <w:b/>
          <w:bCs/>
        </w:rPr>
        <w:t xml:space="preserve">How to Diagnose the issue? </w:t>
      </w:r>
    </w:p>
    <w:p w14:paraId="293C40EF" w14:textId="77777777" w:rsidR="0093479D" w:rsidRPr="0093479D" w:rsidRDefault="0093479D" w:rsidP="000D452E">
      <w:pPr>
        <w:contextualSpacing/>
        <w:mirrorIndents/>
        <w:rPr>
          <w:rFonts w:ascii="Calibri" w:hAnsi="Calibri" w:cs="Calibri"/>
          <w:lang w:val="en-GB"/>
        </w:rPr>
      </w:pPr>
      <w:r w:rsidRPr="0093479D">
        <w:rPr>
          <w:rFonts w:ascii="Calibri" w:hAnsi="Calibri" w:cs="Calibri"/>
          <w:b/>
          <w:bCs/>
          <w:lang w:val="en-GB"/>
        </w:rPr>
        <w:t>1. Gather Information:</w:t>
      </w:r>
    </w:p>
    <w:p w14:paraId="1FDAEAF9" w14:textId="77777777" w:rsidR="008015C7" w:rsidRDefault="0093479D" w:rsidP="000D452E">
      <w:pPr>
        <w:numPr>
          <w:ilvl w:val="1"/>
          <w:numId w:val="13"/>
        </w:numPr>
        <w:contextualSpacing/>
        <w:mirrorIndents/>
        <w:rPr>
          <w:rFonts w:ascii="Calibri" w:hAnsi="Calibri" w:cs="Calibri"/>
          <w:lang w:val="en-GB"/>
        </w:rPr>
      </w:pPr>
      <w:r w:rsidRPr="0093479D">
        <w:rPr>
          <w:rFonts w:ascii="Calibri" w:hAnsi="Calibri" w:cs="Calibri"/>
          <w:lang w:val="en-GB"/>
        </w:rPr>
        <w:t xml:space="preserve">Look at </w:t>
      </w:r>
      <w:r w:rsidRPr="0093479D">
        <w:rPr>
          <w:rFonts w:ascii="Calibri" w:hAnsi="Calibri" w:cs="Calibri"/>
          <w:b/>
          <w:bCs/>
          <w:lang w:val="en-GB"/>
        </w:rPr>
        <w:t>performance records</w:t>
      </w:r>
      <w:r w:rsidRPr="0093479D">
        <w:rPr>
          <w:rFonts w:ascii="Calibri" w:hAnsi="Calibri" w:cs="Calibri"/>
          <w:lang w:val="en-GB"/>
        </w:rPr>
        <w:t>,</w:t>
      </w:r>
      <w:r w:rsidR="007969A8" w:rsidRPr="006E7526">
        <w:rPr>
          <w:rFonts w:ascii="Calibri" w:hAnsi="Calibri" w:cs="Calibri"/>
          <w:lang w:val="en-GB"/>
        </w:rPr>
        <w:t xml:space="preserve"> are the records comparable to either colleagues or timelines?</w:t>
      </w:r>
      <w:r w:rsidRPr="0093479D">
        <w:rPr>
          <w:rFonts w:ascii="Calibri" w:hAnsi="Calibri" w:cs="Calibri"/>
          <w:lang w:val="en-GB"/>
        </w:rPr>
        <w:t xml:space="preserve"> </w:t>
      </w:r>
    </w:p>
    <w:p w14:paraId="41869637" w14:textId="77777777" w:rsidR="00C628D7" w:rsidRDefault="008015C7" w:rsidP="000D452E">
      <w:pPr>
        <w:numPr>
          <w:ilvl w:val="1"/>
          <w:numId w:val="13"/>
        </w:numPr>
        <w:contextualSpacing/>
        <w:mirrorIndents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</w:t>
      </w:r>
      <w:r w:rsidR="0093479D" w:rsidRPr="0093479D">
        <w:rPr>
          <w:rFonts w:ascii="Calibri" w:hAnsi="Calibri" w:cs="Calibri"/>
          <w:lang w:val="en-GB"/>
        </w:rPr>
        <w:t>peak with</w:t>
      </w:r>
      <w:r w:rsidR="00C628D7">
        <w:rPr>
          <w:rFonts w:ascii="Calibri" w:hAnsi="Calibri" w:cs="Calibri"/>
          <w:lang w:val="en-GB"/>
        </w:rPr>
        <w:t xml:space="preserve"> their</w:t>
      </w:r>
      <w:r w:rsidR="0093479D" w:rsidRPr="0093479D">
        <w:rPr>
          <w:rFonts w:ascii="Calibri" w:hAnsi="Calibri" w:cs="Calibri"/>
          <w:lang w:val="en-GB"/>
        </w:rPr>
        <w:t xml:space="preserve"> </w:t>
      </w:r>
      <w:r w:rsidR="0070648D" w:rsidRPr="006E7526">
        <w:rPr>
          <w:rFonts w:ascii="Calibri" w:hAnsi="Calibri" w:cs="Calibri"/>
          <w:lang w:val="en-GB"/>
        </w:rPr>
        <w:t>Line Manager</w:t>
      </w:r>
      <w:r w:rsidR="009C7477" w:rsidRPr="006E7526">
        <w:rPr>
          <w:rFonts w:ascii="Calibri" w:hAnsi="Calibri" w:cs="Calibri"/>
          <w:lang w:val="en-GB"/>
        </w:rPr>
        <w:t xml:space="preserve"> </w:t>
      </w:r>
      <w:r w:rsidR="0093479D" w:rsidRPr="0093479D">
        <w:rPr>
          <w:rFonts w:ascii="Calibri" w:hAnsi="Calibri" w:cs="Calibri"/>
          <w:lang w:val="en-GB"/>
        </w:rPr>
        <w:t xml:space="preserve">and </w:t>
      </w:r>
      <w:r w:rsidR="00FB0303">
        <w:rPr>
          <w:rFonts w:ascii="Calibri" w:hAnsi="Calibri" w:cs="Calibri"/>
          <w:lang w:val="en-GB"/>
        </w:rPr>
        <w:t>ensure to obtain</w:t>
      </w:r>
      <w:r w:rsidR="0093479D" w:rsidRPr="0093479D">
        <w:rPr>
          <w:rFonts w:ascii="Calibri" w:hAnsi="Calibri" w:cs="Calibri"/>
          <w:lang w:val="en-GB"/>
        </w:rPr>
        <w:t xml:space="preserve"> the employee's perspective.</w:t>
      </w:r>
      <w:r w:rsidR="0070648D" w:rsidRPr="006E7526">
        <w:rPr>
          <w:rFonts w:ascii="Calibri" w:hAnsi="Calibri" w:cs="Calibri"/>
          <w:lang w:val="en-GB"/>
        </w:rPr>
        <w:t xml:space="preserve"> </w:t>
      </w:r>
    </w:p>
    <w:p w14:paraId="0793D4F0" w14:textId="55413477" w:rsidR="0093479D" w:rsidRPr="0093479D" w:rsidRDefault="0070648D" w:rsidP="000D452E">
      <w:pPr>
        <w:numPr>
          <w:ilvl w:val="1"/>
          <w:numId w:val="13"/>
        </w:numPr>
        <w:contextualSpacing/>
        <w:mirrorIndents/>
        <w:rPr>
          <w:rFonts w:ascii="Calibri" w:hAnsi="Calibri" w:cs="Calibri"/>
          <w:lang w:val="en-GB"/>
        </w:rPr>
      </w:pPr>
      <w:r w:rsidRPr="006E7526">
        <w:rPr>
          <w:rFonts w:ascii="Calibri" w:hAnsi="Calibri" w:cs="Calibri"/>
          <w:lang w:val="en-GB"/>
        </w:rPr>
        <w:t xml:space="preserve">Are there any mitigating factors at play? </w:t>
      </w:r>
    </w:p>
    <w:p w14:paraId="4D5CB2EF" w14:textId="77777777" w:rsidR="0093479D" w:rsidRPr="0093479D" w:rsidRDefault="0093479D" w:rsidP="000D452E">
      <w:pPr>
        <w:contextualSpacing/>
        <w:mirrorIndents/>
        <w:rPr>
          <w:rFonts w:ascii="Calibri" w:hAnsi="Calibri" w:cs="Calibri"/>
          <w:lang w:val="en-GB"/>
        </w:rPr>
      </w:pPr>
      <w:r w:rsidRPr="0093479D">
        <w:rPr>
          <w:rFonts w:ascii="Calibri" w:hAnsi="Calibri" w:cs="Calibri"/>
          <w:b/>
          <w:bCs/>
          <w:lang w:val="en-GB"/>
        </w:rPr>
        <w:t>2. Ask Yourself:</w:t>
      </w:r>
    </w:p>
    <w:p w14:paraId="78495A0E" w14:textId="77777777" w:rsidR="0093479D" w:rsidRPr="0093479D" w:rsidRDefault="0093479D" w:rsidP="000D452E">
      <w:pPr>
        <w:numPr>
          <w:ilvl w:val="1"/>
          <w:numId w:val="14"/>
        </w:numPr>
        <w:contextualSpacing/>
        <w:mirrorIndents/>
        <w:rPr>
          <w:rFonts w:ascii="Calibri" w:hAnsi="Calibri" w:cs="Calibri"/>
          <w:lang w:val="en-GB"/>
        </w:rPr>
      </w:pPr>
      <w:r w:rsidRPr="0093479D">
        <w:rPr>
          <w:rFonts w:ascii="Calibri" w:hAnsi="Calibri" w:cs="Calibri"/>
          <w:lang w:val="en-GB"/>
        </w:rPr>
        <w:t xml:space="preserve">Is this about their </w:t>
      </w:r>
      <w:r w:rsidRPr="0093479D">
        <w:rPr>
          <w:rFonts w:ascii="Calibri" w:hAnsi="Calibri" w:cs="Calibri"/>
          <w:b/>
          <w:bCs/>
          <w:lang w:val="en-GB"/>
        </w:rPr>
        <w:t>ability to perform the role</w:t>
      </w:r>
      <w:r w:rsidRPr="0093479D">
        <w:rPr>
          <w:rFonts w:ascii="Calibri" w:hAnsi="Calibri" w:cs="Calibri"/>
          <w:lang w:val="en-GB"/>
        </w:rPr>
        <w:t>? (Capability)</w:t>
      </w:r>
    </w:p>
    <w:p w14:paraId="3110C61F" w14:textId="1F2C1788" w:rsidR="0093479D" w:rsidRPr="0093479D" w:rsidRDefault="0093479D" w:rsidP="000D452E">
      <w:pPr>
        <w:numPr>
          <w:ilvl w:val="1"/>
          <w:numId w:val="14"/>
        </w:numPr>
        <w:contextualSpacing/>
        <w:mirrorIndents/>
        <w:rPr>
          <w:rFonts w:ascii="Calibri" w:hAnsi="Calibri" w:cs="Calibri"/>
          <w:lang w:val="en-GB"/>
        </w:rPr>
      </w:pPr>
      <w:r w:rsidRPr="0093479D">
        <w:rPr>
          <w:rFonts w:ascii="Calibri" w:hAnsi="Calibri" w:cs="Calibri"/>
          <w:lang w:val="en-GB"/>
        </w:rPr>
        <w:t xml:space="preserve">Or is it about their </w:t>
      </w:r>
      <w:r w:rsidR="009C7477" w:rsidRPr="006E7526">
        <w:rPr>
          <w:rFonts w:ascii="Calibri" w:hAnsi="Calibri" w:cs="Calibri"/>
          <w:b/>
          <w:bCs/>
          <w:lang w:val="en-GB"/>
        </w:rPr>
        <w:t>behaviour</w:t>
      </w:r>
      <w:r w:rsidRPr="0093479D">
        <w:rPr>
          <w:rFonts w:ascii="Calibri" w:hAnsi="Calibri" w:cs="Calibri"/>
          <w:b/>
          <w:bCs/>
          <w:lang w:val="en-GB"/>
        </w:rPr>
        <w:t xml:space="preserve"> and compliance</w:t>
      </w:r>
      <w:r w:rsidRPr="0093479D">
        <w:rPr>
          <w:rFonts w:ascii="Calibri" w:hAnsi="Calibri" w:cs="Calibri"/>
          <w:lang w:val="en-GB"/>
        </w:rPr>
        <w:t>? (Conduct)</w:t>
      </w:r>
    </w:p>
    <w:p w14:paraId="0A6905B7" w14:textId="77777777" w:rsidR="00F96A24" w:rsidRDefault="00F96A24" w:rsidP="00F96A24">
      <w:pPr>
        <w:contextualSpacing/>
        <w:mirrorIndents/>
        <w:rPr>
          <w:rFonts w:ascii="Calibri" w:hAnsi="Calibri" w:cs="Calibri"/>
          <w:b/>
          <w:bCs/>
        </w:rPr>
      </w:pPr>
    </w:p>
    <w:p w14:paraId="50484C4C" w14:textId="67DB5FA7" w:rsidR="00F96A24" w:rsidRPr="00F96A24" w:rsidRDefault="00F96A24" w:rsidP="00F96A24">
      <w:pPr>
        <w:contextualSpacing/>
        <w:mirrorIndents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Capability/</w:t>
      </w:r>
      <w:r w:rsidRPr="00F96A24">
        <w:rPr>
          <w:rFonts w:ascii="Calibri" w:hAnsi="Calibri" w:cs="Calibri"/>
          <w:b/>
          <w:bCs/>
        </w:rPr>
        <w:t xml:space="preserve">Performance </w:t>
      </w:r>
    </w:p>
    <w:p w14:paraId="00A3D2C9" w14:textId="77777777" w:rsidR="00F96A24" w:rsidRPr="00F96A24" w:rsidRDefault="00F96A24" w:rsidP="00F96A24">
      <w:pPr>
        <w:contextualSpacing/>
        <w:mirrorIndents/>
        <w:rPr>
          <w:rFonts w:ascii="Calibri" w:hAnsi="Calibri" w:cs="Calibri"/>
          <w:b/>
          <w:bCs/>
        </w:rPr>
      </w:pPr>
      <w:r w:rsidRPr="00F96A24">
        <w:rPr>
          <w:rFonts w:ascii="Calibri" w:hAnsi="Calibri" w:cs="Calibri"/>
        </w:rPr>
        <w:t>An employee can only be charged with poor performance after they have been made aware of the work standard required and given reasonable and sufficient time to improve.</w:t>
      </w:r>
    </w:p>
    <w:p w14:paraId="27DA0DF6" w14:textId="77777777" w:rsidR="00F96A24" w:rsidRPr="00F96A24" w:rsidRDefault="00F96A24" w:rsidP="00F96A24">
      <w:pPr>
        <w:contextualSpacing/>
        <w:mirrorIndents/>
        <w:rPr>
          <w:rFonts w:ascii="Calibri" w:hAnsi="Calibri" w:cs="Calibri"/>
          <w:b/>
          <w:bCs/>
          <w:lang w:val="en-GB"/>
        </w:rPr>
      </w:pPr>
      <w:r w:rsidRPr="00F96A24">
        <w:rPr>
          <w:rFonts w:ascii="Calibri" w:hAnsi="Calibri" w:cs="Calibri"/>
          <w:b/>
          <w:bCs/>
          <w:lang w:val="en-GB"/>
        </w:rPr>
        <w:t>The Dutiful Dozen:</w:t>
      </w:r>
    </w:p>
    <w:p w14:paraId="44EC26D1" w14:textId="77777777" w:rsidR="00D40BB3" w:rsidRDefault="00F96A24" w:rsidP="00F96A24">
      <w:pPr>
        <w:numPr>
          <w:ilvl w:val="0"/>
          <w:numId w:val="17"/>
        </w:numPr>
        <w:contextualSpacing/>
        <w:mirrorIndents/>
        <w:rPr>
          <w:rFonts w:ascii="Calibri" w:hAnsi="Calibri" w:cs="Calibri"/>
          <w:lang w:val="en-GB"/>
        </w:rPr>
      </w:pPr>
      <w:r w:rsidRPr="00F96A24">
        <w:rPr>
          <w:rFonts w:ascii="Calibri" w:hAnsi="Calibri" w:cs="Calibri"/>
          <w:lang w:val="en-GB"/>
        </w:rPr>
        <w:t xml:space="preserve">Check that the standard required of the employee is reasonable and achievable. </w:t>
      </w:r>
    </w:p>
    <w:p w14:paraId="73565EE5" w14:textId="6DCD8368" w:rsidR="00F96A24" w:rsidRPr="00F96A24" w:rsidRDefault="00D40BB3" w:rsidP="00F96A24">
      <w:pPr>
        <w:numPr>
          <w:ilvl w:val="0"/>
          <w:numId w:val="17"/>
        </w:numPr>
        <w:contextualSpacing/>
        <w:mirrorIndents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Refer to the employee’s pre-agreed job specification</w:t>
      </w:r>
      <w:r w:rsidR="00F96A24" w:rsidRPr="00F96A24">
        <w:rPr>
          <w:rFonts w:ascii="Calibri" w:hAnsi="Calibri" w:cs="Calibri"/>
          <w:lang w:val="en-GB"/>
        </w:rPr>
        <w:t xml:space="preserve"> </w:t>
      </w:r>
    </w:p>
    <w:p w14:paraId="53837C4D" w14:textId="785031B2" w:rsidR="00F96A24" w:rsidRPr="00F96A24" w:rsidRDefault="00F96A24" w:rsidP="00F96A24">
      <w:pPr>
        <w:numPr>
          <w:ilvl w:val="0"/>
          <w:numId w:val="17"/>
        </w:numPr>
        <w:contextualSpacing/>
        <w:mirrorIndents/>
        <w:rPr>
          <w:rFonts w:ascii="Calibri" w:hAnsi="Calibri" w:cs="Calibri"/>
          <w:lang w:val="en-GB"/>
        </w:rPr>
      </w:pPr>
      <w:r w:rsidRPr="00F96A24">
        <w:rPr>
          <w:rFonts w:ascii="Calibri" w:hAnsi="Calibri" w:cs="Calibri"/>
          <w:lang w:val="en-GB"/>
        </w:rPr>
        <w:t>Point out to the employee that he or she is falling short of the standard before it becomes a disciplinary issue.</w:t>
      </w:r>
      <w:r w:rsidR="00720BC0">
        <w:rPr>
          <w:rFonts w:ascii="Calibri" w:hAnsi="Calibri" w:cs="Calibri"/>
          <w:lang w:val="en-GB"/>
        </w:rPr>
        <w:t xml:space="preserve"> A Make Aware Meeting is a great way to get this information exchange on record.</w:t>
      </w:r>
    </w:p>
    <w:p w14:paraId="76447700" w14:textId="77777777" w:rsidR="00F96A24" w:rsidRPr="00F96A24" w:rsidRDefault="00F96A24" w:rsidP="00F96A24">
      <w:pPr>
        <w:numPr>
          <w:ilvl w:val="0"/>
          <w:numId w:val="17"/>
        </w:numPr>
        <w:contextualSpacing/>
        <w:mirrorIndents/>
        <w:rPr>
          <w:rFonts w:ascii="Calibri" w:hAnsi="Calibri" w:cs="Calibri"/>
          <w:lang w:val="en-GB"/>
        </w:rPr>
      </w:pPr>
      <w:r w:rsidRPr="00F96A24">
        <w:rPr>
          <w:rFonts w:ascii="Calibri" w:hAnsi="Calibri" w:cs="Calibri"/>
          <w:lang w:val="en-GB"/>
        </w:rPr>
        <w:t>Create a Performance Improvement Plan (PIP).</w:t>
      </w:r>
    </w:p>
    <w:p w14:paraId="3B9643D2" w14:textId="77777777" w:rsidR="00F96A24" w:rsidRPr="00F96A24" w:rsidRDefault="00F96A24" w:rsidP="00F96A24">
      <w:pPr>
        <w:numPr>
          <w:ilvl w:val="0"/>
          <w:numId w:val="17"/>
        </w:numPr>
        <w:contextualSpacing/>
        <w:mirrorIndents/>
        <w:rPr>
          <w:rFonts w:ascii="Calibri" w:hAnsi="Calibri" w:cs="Calibri"/>
          <w:lang w:val="en-GB"/>
        </w:rPr>
      </w:pPr>
      <w:r w:rsidRPr="00F96A24">
        <w:rPr>
          <w:rFonts w:ascii="Calibri" w:hAnsi="Calibri" w:cs="Calibri"/>
          <w:lang w:val="en-GB"/>
        </w:rPr>
        <w:t>Set out what objectives the employee is not meeting but is required to meet and the deadlines the employee has to meet each objective in the PIP.</w:t>
      </w:r>
    </w:p>
    <w:p w14:paraId="0EB49CD8" w14:textId="77777777" w:rsidR="00F96A24" w:rsidRPr="00F96A24" w:rsidRDefault="00F96A24" w:rsidP="00F96A24">
      <w:pPr>
        <w:numPr>
          <w:ilvl w:val="0"/>
          <w:numId w:val="17"/>
        </w:numPr>
        <w:contextualSpacing/>
        <w:mirrorIndents/>
        <w:rPr>
          <w:rFonts w:ascii="Calibri" w:hAnsi="Calibri" w:cs="Calibri"/>
          <w:lang w:val="en-GB"/>
        </w:rPr>
      </w:pPr>
      <w:r w:rsidRPr="00F96A24">
        <w:rPr>
          <w:rFonts w:ascii="Calibri" w:hAnsi="Calibri" w:cs="Calibri"/>
          <w:lang w:val="en-GB"/>
        </w:rPr>
        <w:t>Talk through the PIP with the employee so that they understand it.</w:t>
      </w:r>
    </w:p>
    <w:p w14:paraId="41F1BDDF" w14:textId="77777777" w:rsidR="00F96A24" w:rsidRPr="00F96A24" w:rsidRDefault="00F96A24" w:rsidP="00F96A24">
      <w:pPr>
        <w:numPr>
          <w:ilvl w:val="0"/>
          <w:numId w:val="17"/>
        </w:numPr>
        <w:contextualSpacing/>
        <w:mirrorIndents/>
        <w:rPr>
          <w:rFonts w:ascii="Calibri" w:hAnsi="Calibri" w:cs="Calibri"/>
          <w:lang w:val="en-GB"/>
        </w:rPr>
      </w:pPr>
      <w:r w:rsidRPr="00F96A24">
        <w:rPr>
          <w:rFonts w:ascii="Calibri" w:hAnsi="Calibri" w:cs="Calibri"/>
          <w:lang w:val="en-GB"/>
        </w:rPr>
        <w:t>Urge the employee to notify them if they need assistance, training, or more time.</w:t>
      </w:r>
    </w:p>
    <w:p w14:paraId="720DDEB6" w14:textId="77777777" w:rsidR="00F96A24" w:rsidRPr="00F96A24" w:rsidRDefault="00F96A24" w:rsidP="00F96A24">
      <w:pPr>
        <w:numPr>
          <w:ilvl w:val="0"/>
          <w:numId w:val="17"/>
        </w:numPr>
        <w:contextualSpacing/>
        <w:mirrorIndents/>
        <w:rPr>
          <w:rFonts w:ascii="Calibri" w:hAnsi="Calibri" w:cs="Calibri"/>
          <w:lang w:val="en-GB"/>
        </w:rPr>
      </w:pPr>
      <w:r w:rsidRPr="00F96A24">
        <w:rPr>
          <w:rFonts w:ascii="Calibri" w:hAnsi="Calibri" w:cs="Calibri"/>
          <w:lang w:val="en-GB"/>
        </w:rPr>
        <w:t>Ensure the employee’s work situation allows for a focus on improvement.</w:t>
      </w:r>
    </w:p>
    <w:p w14:paraId="1925EFFE" w14:textId="77777777" w:rsidR="00F96A24" w:rsidRPr="00F96A24" w:rsidRDefault="00F96A24" w:rsidP="00F96A24">
      <w:pPr>
        <w:numPr>
          <w:ilvl w:val="0"/>
          <w:numId w:val="17"/>
        </w:numPr>
        <w:contextualSpacing/>
        <w:mirrorIndents/>
        <w:rPr>
          <w:rFonts w:ascii="Calibri" w:hAnsi="Calibri" w:cs="Calibri"/>
          <w:lang w:val="en-GB"/>
        </w:rPr>
      </w:pPr>
      <w:r w:rsidRPr="00F96A24">
        <w:rPr>
          <w:rFonts w:ascii="Calibri" w:hAnsi="Calibri" w:cs="Calibri"/>
          <w:lang w:val="en-GB"/>
        </w:rPr>
        <w:t>Set regular reviews dates during the PIP period.</w:t>
      </w:r>
    </w:p>
    <w:p w14:paraId="5F74B11F" w14:textId="77777777" w:rsidR="00F96A24" w:rsidRPr="00F96A24" w:rsidRDefault="00F96A24" w:rsidP="00F96A24">
      <w:pPr>
        <w:numPr>
          <w:ilvl w:val="0"/>
          <w:numId w:val="17"/>
        </w:numPr>
        <w:contextualSpacing/>
        <w:mirrorIndents/>
        <w:rPr>
          <w:rFonts w:ascii="Calibri" w:hAnsi="Calibri" w:cs="Calibri"/>
          <w:lang w:val="en-GB"/>
        </w:rPr>
      </w:pPr>
      <w:r w:rsidRPr="00F96A24">
        <w:rPr>
          <w:rFonts w:ascii="Calibri" w:hAnsi="Calibri" w:cs="Calibri"/>
          <w:lang w:val="en-GB"/>
        </w:rPr>
        <w:t xml:space="preserve">Inform the employee that should they not meet the deadlines set out in the PIP, </w:t>
      </w:r>
    </w:p>
    <w:p w14:paraId="1ABBE7E7" w14:textId="77777777" w:rsidR="00F96A24" w:rsidRPr="00F96A24" w:rsidRDefault="00F96A24" w:rsidP="00F96A24">
      <w:pPr>
        <w:numPr>
          <w:ilvl w:val="0"/>
          <w:numId w:val="17"/>
        </w:numPr>
        <w:contextualSpacing/>
        <w:mirrorIndents/>
        <w:rPr>
          <w:rFonts w:ascii="Calibri" w:hAnsi="Calibri" w:cs="Calibri"/>
          <w:lang w:val="en-GB"/>
        </w:rPr>
      </w:pPr>
      <w:r w:rsidRPr="00F96A24">
        <w:rPr>
          <w:rFonts w:ascii="Calibri" w:hAnsi="Calibri" w:cs="Calibri"/>
          <w:lang w:val="en-GB"/>
        </w:rPr>
        <w:t>then the disciplinary process will be initiated.</w:t>
      </w:r>
    </w:p>
    <w:p w14:paraId="35BC4323" w14:textId="77777777" w:rsidR="00F96A24" w:rsidRPr="00F96A24" w:rsidRDefault="00F96A24" w:rsidP="00F96A24">
      <w:pPr>
        <w:numPr>
          <w:ilvl w:val="0"/>
          <w:numId w:val="17"/>
        </w:numPr>
        <w:contextualSpacing/>
        <w:mirrorIndents/>
        <w:rPr>
          <w:rFonts w:ascii="Calibri" w:hAnsi="Calibri" w:cs="Calibri"/>
          <w:lang w:val="en-GB"/>
        </w:rPr>
      </w:pPr>
      <w:r w:rsidRPr="00F96A24">
        <w:rPr>
          <w:rFonts w:ascii="Calibri" w:hAnsi="Calibri" w:cs="Calibri"/>
          <w:lang w:val="en-GB"/>
        </w:rPr>
        <w:t>Inform the employee that sanctions resulting from the disciplinary process could include sanctions up to and including dismissal.</w:t>
      </w:r>
    </w:p>
    <w:p w14:paraId="126874BA" w14:textId="77777777" w:rsidR="00F96A24" w:rsidRPr="00F96A24" w:rsidRDefault="00F96A24" w:rsidP="00F96A24">
      <w:pPr>
        <w:numPr>
          <w:ilvl w:val="0"/>
          <w:numId w:val="17"/>
        </w:numPr>
        <w:contextualSpacing/>
        <w:mirrorIndents/>
        <w:rPr>
          <w:rFonts w:ascii="Calibri" w:hAnsi="Calibri" w:cs="Calibri"/>
          <w:lang w:val="en-GB"/>
        </w:rPr>
      </w:pPr>
      <w:r w:rsidRPr="00F96A24">
        <w:rPr>
          <w:rFonts w:ascii="Calibri" w:hAnsi="Calibri" w:cs="Calibri"/>
          <w:lang w:val="en-GB"/>
        </w:rPr>
        <w:t>Follow company disciplinary procedures and go through the sanctions of verbal and written warnings before dismissal.</w:t>
      </w:r>
    </w:p>
    <w:p w14:paraId="4C52C355" w14:textId="77777777" w:rsidR="00F96A24" w:rsidRPr="00F96A24" w:rsidRDefault="00F96A24" w:rsidP="00F96A24">
      <w:pPr>
        <w:numPr>
          <w:ilvl w:val="0"/>
          <w:numId w:val="17"/>
        </w:numPr>
        <w:contextualSpacing/>
        <w:mirrorIndents/>
        <w:rPr>
          <w:rFonts w:ascii="Calibri" w:hAnsi="Calibri" w:cs="Calibri"/>
          <w:lang w:val="en-GB"/>
        </w:rPr>
      </w:pPr>
      <w:r w:rsidRPr="00F96A24">
        <w:rPr>
          <w:rFonts w:ascii="Calibri" w:hAnsi="Calibri" w:cs="Calibri"/>
          <w:lang w:val="en-GB"/>
        </w:rPr>
        <w:t>Proceed to dismissal only as a last resort.</w:t>
      </w:r>
    </w:p>
    <w:p w14:paraId="5A559528" w14:textId="77777777" w:rsidR="00705CD9" w:rsidRPr="00F96A24" w:rsidRDefault="00705CD9" w:rsidP="000D452E">
      <w:pPr>
        <w:contextualSpacing/>
        <w:mirrorIndents/>
        <w:rPr>
          <w:rFonts w:ascii="Calibri" w:hAnsi="Calibri" w:cs="Calibri"/>
          <w:lang w:val="en-GB"/>
        </w:rPr>
      </w:pPr>
    </w:p>
    <w:p w14:paraId="661ED2AA" w14:textId="77777777" w:rsidR="00951FFE" w:rsidRDefault="00951FFE" w:rsidP="00FB0303">
      <w:pPr>
        <w:contextualSpacing/>
        <w:mirrorIndents/>
        <w:rPr>
          <w:rFonts w:ascii="Calibri" w:hAnsi="Calibri" w:cs="Calibri"/>
          <w:b/>
          <w:bCs/>
        </w:rPr>
      </w:pPr>
    </w:p>
    <w:p w14:paraId="507AD65A" w14:textId="1A527190" w:rsidR="00951FFE" w:rsidRPr="00951FFE" w:rsidRDefault="00951FFE" w:rsidP="00FB0303">
      <w:pPr>
        <w:contextualSpacing/>
        <w:mirrorIndents/>
        <w:rPr>
          <w:rFonts w:ascii="Calibri" w:hAnsi="Calibri" w:cs="Calibri"/>
          <w:b/>
          <w:bCs/>
        </w:rPr>
      </w:pPr>
      <w:r w:rsidRPr="00951FFE">
        <w:rPr>
          <w:rFonts w:ascii="Calibri" w:hAnsi="Calibri" w:cs="Calibri"/>
          <w:b/>
          <w:bCs/>
        </w:rPr>
        <w:t>Conduct</w:t>
      </w:r>
      <w:r w:rsidR="00F96A24">
        <w:rPr>
          <w:rFonts w:ascii="Calibri" w:hAnsi="Calibri" w:cs="Calibri"/>
          <w:b/>
          <w:bCs/>
        </w:rPr>
        <w:t xml:space="preserve"> </w:t>
      </w:r>
    </w:p>
    <w:p w14:paraId="5ED08053" w14:textId="6CD574AA" w:rsidR="00FB0303" w:rsidRDefault="00705CD9" w:rsidP="00FB0303">
      <w:pPr>
        <w:contextualSpacing/>
        <w:mirrorIndents/>
        <w:rPr>
          <w:rFonts w:ascii="Calibri" w:hAnsi="Calibri" w:cs="Calibri"/>
        </w:rPr>
      </w:pPr>
      <w:r>
        <w:rPr>
          <w:rFonts w:ascii="Calibri" w:hAnsi="Calibri" w:cs="Calibri"/>
        </w:rPr>
        <w:t xml:space="preserve">Regardless of an employee’s length of service they are entitled to a fair process. </w:t>
      </w:r>
      <w:r w:rsidR="009B6A04" w:rsidRPr="009B6A04">
        <w:rPr>
          <w:rFonts w:ascii="Calibri" w:hAnsi="Calibri" w:cs="Calibri"/>
        </w:rPr>
        <w:t>In cases of misconduct or gross misconduct, it is not the probation process that should be used but rather the disciplinary procedure, and fair procedure and natural justice should apply</w:t>
      </w:r>
      <w:r w:rsidR="00FB0303">
        <w:rPr>
          <w:rFonts w:ascii="Calibri" w:hAnsi="Calibri" w:cs="Calibri"/>
        </w:rPr>
        <w:t>.</w:t>
      </w:r>
      <w:r w:rsidR="00FB0303" w:rsidRPr="00FB0303">
        <w:rPr>
          <w:rFonts w:ascii="Calibri" w:eastAsia="Aptos" w:hAnsi="Calibri" w:cs="Calibri"/>
          <w:color w:val="3E3E3E"/>
          <w:kern w:val="2"/>
        </w:rPr>
        <w:t xml:space="preserve"> </w:t>
      </w:r>
      <w:r w:rsidR="00FB0303" w:rsidRPr="00FB0303">
        <w:rPr>
          <w:rFonts w:ascii="Calibri" w:hAnsi="Calibri" w:cs="Calibri"/>
        </w:rPr>
        <w:t xml:space="preserve">The Workplace Relations Commission (WRC) and </w:t>
      </w:r>
      <w:proofErr w:type="spellStart"/>
      <w:r w:rsidR="00FB0303" w:rsidRPr="00FB0303">
        <w:rPr>
          <w:rFonts w:ascii="Calibri" w:hAnsi="Calibri" w:cs="Calibri"/>
        </w:rPr>
        <w:t>Labour</w:t>
      </w:r>
      <w:proofErr w:type="spellEnd"/>
      <w:r w:rsidR="00FB0303" w:rsidRPr="00FB0303">
        <w:rPr>
          <w:rFonts w:ascii="Calibri" w:hAnsi="Calibri" w:cs="Calibri"/>
        </w:rPr>
        <w:t xml:space="preserve"> Court expects </w:t>
      </w:r>
      <w:r w:rsidR="006D39CC">
        <w:rPr>
          <w:rFonts w:ascii="Calibri" w:hAnsi="Calibri" w:cs="Calibri"/>
        </w:rPr>
        <w:t>Employers</w:t>
      </w:r>
      <w:r w:rsidR="00FB0303" w:rsidRPr="00FB0303">
        <w:rPr>
          <w:rFonts w:ascii="Calibri" w:hAnsi="Calibri" w:cs="Calibri"/>
        </w:rPr>
        <w:t xml:space="preserve"> to meticulously adhere to fair procedures and natural justice when dismissing an employee for misconduct. It is up to the employer to prove that the dismissal was fair.</w:t>
      </w:r>
    </w:p>
    <w:p w14:paraId="3FA8FB44" w14:textId="77777777" w:rsidR="00F96A24" w:rsidRDefault="00F96A24" w:rsidP="00FB0303">
      <w:pPr>
        <w:contextualSpacing/>
        <w:mirrorIndents/>
        <w:rPr>
          <w:rFonts w:ascii="Calibri" w:hAnsi="Calibri" w:cs="Calibri"/>
        </w:rPr>
      </w:pPr>
    </w:p>
    <w:p w14:paraId="1F46961D" w14:textId="77777777" w:rsidR="00FB0303" w:rsidRPr="00FB0303" w:rsidRDefault="00FB0303" w:rsidP="00FB0303">
      <w:pPr>
        <w:contextualSpacing/>
        <w:mirrorIndents/>
        <w:rPr>
          <w:rFonts w:ascii="Calibri" w:hAnsi="Calibri" w:cs="Calibri"/>
        </w:rPr>
      </w:pPr>
      <w:r w:rsidRPr="00FB0303">
        <w:rPr>
          <w:rFonts w:ascii="Calibri" w:hAnsi="Calibri" w:cs="Calibri"/>
          <w:b/>
          <w:bCs/>
        </w:rPr>
        <w:t xml:space="preserve">Establishing Fair Procedures: </w:t>
      </w:r>
    </w:p>
    <w:p w14:paraId="3DCF6642" w14:textId="66A7BB8A" w:rsidR="00A753F8" w:rsidRDefault="00A753F8" w:rsidP="00FB0303">
      <w:pPr>
        <w:numPr>
          <w:ilvl w:val="0"/>
          <w:numId w:val="15"/>
        </w:numPr>
        <w:contextualSpacing/>
        <w:mirrorIndents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Follow </w:t>
      </w:r>
      <w:r w:rsidR="005B103E">
        <w:rPr>
          <w:rFonts w:ascii="Calibri" w:hAnsi="Calibri" w:cs="Calibri"/>
          <w:lang w:val="en-GB"/>
        </w:rPr>
        <w:t xml:space="preserve">your </w:t>
      </w:r>
      <w:r>
        <w:rPr>
          <w:rFonts w:ascii="Calibri" w:hAnsi="Calibri" w:cs="Calibri"/>
          <w:lang w:val="en-GB"/>
        </w:rPr>
        <w:t xml:space="preserve">company Disciplinary process. </w:t>
      </w:r>
    </w:p>
    <w:p w14:paraId="44D764E0" w14:textId="30F941C2" w:rsidR="00A753F8" w:rsidRDefault="00A753F8" w:rsidP="00FB0303">
      <w:pPr>
        <w:numPr>
          <w:ilvl w:val="0"/>
          <w:numId w:val="15"/>
        </w:numPr>
        <w:contextualSpacing/>
        <w:mirrorIndents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Ensure that the employee is fully aware of the company Disciplinary process. Provide a copy for reference. </w:t>
      </w:r>
    </w:p>
    <w:p w14:paraId="71F9A009" w14:textId="0A9629D4" w:rsidR="00FB0303" w:rsidRPr="00FB0303" w:rsidRDefault="00FB0303" w:rsidP="00FB0303">
      <w:pPr>
        <w:numPr>
          <w:ilvl w:val="0"/>
          <w:numId w:val="15"/>
        </w:numPr>
        <w:contextualSpacing/>
        <w:mirrorIndents/>
        <w:rPr>
          <w:rFonts w:ascii="Calibri" w:hAnsi="Calibri" w:cs="Calibri"/>
          <w:lang w:val="en-GB"/>
        </w:rPr>
      </w:pPr>
      <w:r w:rsidRPr="00FB0303">
        <w:rPr>
          <w:rFonts w:ascii="Calibri" w:hAnsi="Calibri" w:cs="Calibri"/>
          <w:lang w:val="en-GB"/>
        </w:rPr>
        <w:t>Confine the investigation to establishing the facts and the allegation at hand only.</w:t>
      </w:r>
    </w:p>
    <w:p w14:paraId="107D80BE" w14:textId="02B30DD8" w:rsidR="00FB0303" w:rsidRPr="004635A9" w:rsidRDefault="00FB0303" w:rsidP="004635A9">
      <w:pPr>
        <w:pStyle w:val="ListParagraph"/>
        <w:numPr>
          <w:ilvl w:val="0"/>
          <w:numId w:val="15"/>
        </w:numPr>
        <w:mirrorIndents/>
        <w:rPr>
          <w:rFonts w:ascii="Calibri" w:hAnsi="Calibri" w:cs="Calibri"/>
          <w:lang w:val="en-GB"/>
        </w:rPr>
      </w:pPr>
      <w:r w:rsidRPr="004635A9">
        <w:rPr>
          <w:rFonts w:ascii="Calibri" w:hAnsi="Calibri" w:cs="Calibri"/>
          <w:lang w:val="en-GB"/>
        </w:rPr>
        <w:t>Suspend the employee only if necessary</w:t>
      </w:r>
      <w:r w:rsidR="00076A5F">
        <w:rPr>
          <w:rFonts w:ascii="Calibri" w:hAnsi="Calibri" w:cs="Calibri"/>
          <w:lang w:val="en-GB"/>
        </w:rPr>
        <w:t xml:space="preserve"> – only potentially used in high risk gross misconduct allegations. </w:t>
      </w:r>
    </w:p>
    <w:p w14:paraId="31FC6146" w14:textId="77777777" w:rsidR="00FB0303" w:rsidRPr="00FB0303" w:rsidRDefault="00FB0303" w:rsidP="00FB0303">
      <w:pPr>
        <w:numPr>
          <w:ilvl w:val="0"/>
          <w:numId w:val="15"/>
        </w:numPr>
        <w:contextualSpacing/>
        <w:mirrorIndents/>
        <w:rPr>
          <w:rFonts w:ascii="Calibri" w:hAnsi="Calibri" w:cs="Calibri"/>
          <w:lang w:val="en-GB"/>
        </w:rPr>
      </w:pPr>
      <w:r w:rsidRPr="00FB0303">
        <w:rPr>
          <w:rFonts w:ascii="Calibri" w:hAnsi="Calibri" w:cs="Calibri"/>
          <w:lang w:val="en-GB"/>
        </w:rPr>
        <w:t>Provide the employee with a written copy of the investigation outcome.</w:t>
      </w:r>
    </w:p>
    <w:p w14:paraId="3A2C86A2" w14:textId="09A6B879" w:rsidR="00FB0303" w:rsidRPr="00FB0303" w:rsidRDefault="00FB0303" w:rsidP="00FB0303">
      <w:pPr>
        <w:numPr>
          <w:ilvl w:val="0"/>
          <w:numId w:val="15"/>
        </w:numPr>
        <w:contextualSpacing/>
        <w:mirrorIndents/>
        <w:rPr>
          <w:rFonts w:ascii="Calibri" w:hAnsi="Calibri" w:cs="Calibri"/>
          <w:lang w:val="en-GB"/>
        </w:rPr>
      </w:pPr>
      <w:r w:rsidRPr="00FB0303">
        <w:rPr>
          <w:rFonts w:ascii="Calibri" w:hAnsi="Calibri" w:cs="Calibri"/>
          <w:lang w:val="en-GB"/>
        </w:rPr>
        <w:t xml:space="preserve">The individual conducting the hearing must be </w:t>
      </w:r>
      <w:r w:rsidR="00076A5F">
        <w:rPr>
          <w:rFonts w:ascii="Calibri" w:hAnsi="Calibri" w:cs="Calibri"/>
          <w:lang w:val="en-GB"/>
        </w:rPr>
        <w:t xml:space="preserve">trained and </w:t>
      </w:r>
      <w:r w:rsidRPr="00FB0303">
        <w:rPr>
          <w:rFonts w:ascii="Calibri" w:hAnsi="Calibri" w:cs="Calibri"/>
          <w:lang w:val="en-GB"/>
        </w:rPr>
        <w:t>impartial.</w:t>
      </w:r>
    </w:p>
    <w:p w14:paraId="5935C446" w14:textId="61ECE058" w:rsidR="00FB0303" w:rsidRPr="00FB0303" w:rsidRDefault="00FB0303" w:rsidP="003F7862">
      <w:pPr>
        <w:numPr>
          <w:ilvl w:val="0"/>
          <w:numId w:val="15"/>
        </w:numPr>
        <w:contextualSpacing/>
        <w:mirrorIndents/>
        <w:rPr>
          <w:rFonts w:ascii="Calibri" w:hAnsi="Calibri" w:cs="Calibri"/>
          <w:lang w:val="en-GB"/>
        </w:rPr>
      </w:pPr>
      <w:r w:rsidRPr="00FB0303">
        <w:rPr>
          <w:rFonts w:ascii="Calibri" w:hAnsi="Calibri" w:cs="Calibri"/>
          <w:lang w:val="en-GB"/>
        </w:rPr>
        <w:t>The decision maker must take time to consider everything before making a decision.</w:t>
      </w:r>
    </w:p>
    <w:p w14:paraId="6580040B" w14:textId="77777777" w:rsidR="00FB0303" w:rsidRPr="00FB0303" w:rsidRDefault="00FB0303" w:rsidP="00FB0303">
      <w:pPr>
        <w:numPr>
          <w:ilvl w:val="0"/>
          <w:numId w:val="15"/>
        </w:numPr>
        <w:contextualSpacing/>
        <w:mirrorIndents/>
        <w:rPr>
          <w:rFonts w:ascii="Calibri" w:hAnsi="Calibri" w:cs="Calibri"/>
          <w:lang w:val="en-GB"/>
        </w:rPr>
      </w:pPr>
      <w:r w:rsidRPr="00FB0303">
        <w:rPr>
          <w:rFonts w:ascii="Calibri" w:hAnsi="Calibri" w:cs="Calibri"/>
          <w:lang w:val="en-GB"/>
        </w:rPr>
        <w:t>Check if follow ups to anything said during the hearing are necessary.</w:t>
      </w:r>
    </w:p>
    <w:p w14:paraId="7B280105" w14:textId="77777777" w:rsidR="00FB0303" w:rsidRPr="00FB0303" w:rsidRDefault="00FB0303" w:rsidP="00FB0303">
      <w:pPr>
        <w:numPr>
          <w:ilvl w:val="0"/>
          <w:numId w:val="15"/>
        </w:numPr>
        <w:contextualSpacing/>
        <w:mirrorIndents/>
        <w:rPr>
          <w:rFonts w:ascii="Calibri" w:hAnsi="Calibri" w:cs="Calibri"/>
          <w:lang w:val="en-GB"/>
        </w:rPr>
      </w:pPr>
      <w:r w:rsidRPr="00FB0303">
        <w:rPr>
          <w:rFonts w:ascii="Calibri" w:hAnsi="Calibri" w:cs="Calibri"/>
          <w:lang w:val="en-GB"/>
        </w:rPr>
        <w:t>Ensure the decision is balanced and based on all of the facts.</w:t>
      </w:r>
    </w:p>
    <w:p w14:paraId="48BC13A7" w14:textId="77777777" w:rsidR="00FB0303" w:rsidRPr="00FB0303" w:rsidRDefault="00FB0303" w:rsidP="00FB0303">
      <w:pPr>
        <w:numPr>
          <w:ilvl w:val="0"/>
          <w:numId w:val="15"/>
        </w:numPr>
        <w:contextualSpacing/>
        <w:mirrorIndents/>
        <w:rPr>
          <w:rFonts w:ascii="Calibri" w:hAnsi="Calibri" w:cs="Calibri"/>
          <w:lang w:val="en-GB"/>
        </w:rPr>
      </w:pPr>
      <w:r w:rsidRPr="00FB0303">
        <w:rPr>
          <w:rFonts w:ascii="Calibri" w:hAnsi="Calibri" w:cs="Calibri"/>
          <w:lang w:val="en-GB"/>
        </w:rPr>
        <w:t>Take lesser disciplinary sanctions into consideration in line with your own Company policy.</w:t>
      </w:r>
    </w:p>
    <w:p w14:paraId="724ACACD" w14:textId="77777777" w:rsidR="00FB0303" w:rsidRPr="00FB0303" w:rsidRDefault="00FB0303" w:rsidP="00FB0303">
      <w:pPr>
        <w:numPr>
          <w:ilvl w:val="0"/>
          <w:numId w:val="15"/>
        </w:numPr>
        <w:contextualSpacing/>
        <w:mirrorIndents/>
        <w:rPr>
          <w:rFonts w:ascii="Calibri" w:hAnsi="Calibri" w:cs="Calibri"/>
          <w:lang w:val="en-GB"/>
        </w:rPr>
      </w:pPr>
      <w:r w:rsidRPr="00FB0303">
        <w:rPr>
          <w:rFonts w:ascii="Calibri" w:hAnsi="Calibri" w:cs="Calibri"/>
          <w:lang w:val="en-GB"/>
        </w:rPr>
        <w:t>Inform the employee of the appeal procedure.</w:t>
      </w:r>
    </w:p>
    <w:p w14:paraId="3A531235" w14:textId="77777777" w:rsidR="00FB0303" w:rsidRPr="00FB0303" w:rsidRDefault="00FB0303" w:rsidP="00FB0303">
      <w:pPr>
        <w:numPr>
          <w:ilvl w:val="0"/>
          <w:numId w:val="15"/>
        </w:numPr>
        <w:contextualSpacing/>
        <w:mirrorIndents/>
        <w:rPr>
          <w:rFonts w:ascii="Calibri" w:hAnsi="Calibri" w:cs="Calibri"/>
          <w:lang w:val="en-GB"/>
        </w:rPr>
      </w:pPr>
      <w:r w:rsidRPr="00FB0303">
        <w:rPr>
          <w:rFonts w:ascii="Calibri" w:hAnsi="Calibri" w:cs="Calibri"/>
          <w:lang w:val="en-GB"/>
        </w:rPr>
        <w:t>An appeal must be heard by an impartial and independent individual.</w:t>
      </w:r>
    </w:p>
    <w:p w14:paraId="2EB7F86A" w14:textId="77777777" w:rsidR="00F96A24" w:rsidRDefault="00F96A24" w:rsidP="00F96A24">
      <w:pPr>
        <w:ind w:left="360"/>
        <w:contextualSpacing/>
        <w:mirrorIndents/>
        <w:rPr>
          <w:rFonts w:ascii="Calibri" w:hAnsi="Calibri" w:cs="Calibri"/>
        </w:rPr>
      </w:pPr>
    </w:p>
    <w:p w14:paraId="4BCB3CB4" w14:textId="57E2B148" w:rsidR="00F96A24" w:rsidRPr="00FB0303" w:rsidRDefault="00F96A24" w:rsidP="00F96A24">
      <w:pPr>
        <w:ind w:left="360"/>
        <w:contextualSpacing/>
        <w:mirrorIndents/>
        <w:rPr>
          <w:rFonts w:ascii="Calibri" w:hAnsi="Calibri" w:cs="Calibri"/>
          <w:lang w:val="en-GB"/>
        </w:rPr>
      </w:pPr>
      <w:r w:rsidRPr="00F96A24">
        <w:rPr>
          <w:rFonts w:ascii="Calibri" w:hAnsi="Calibri" w:cs="Calibri"/>
        </w:rPr>
        <w:t xml:space="preserve">As always, if you require any support with HR or Employment Law you can contact the ISME HR Team on 01 6622755 Option 2 or via </w:t>
      </w:r>
      <w:hyperlink r:id="rId10" w:history="1">
        <w:r w:rsidRPr="00F96A24">
          <w:rPr>
            <w:rStyle w:val="Hyperlink"/>
            <w:rFonts w:ascii="Calibri" w:hAnsi="Calibri" w:cs="Calibri"/>
          </w:rPr>
          <w:t>HR@ISME.ie</w:t>
        </w:r>
      </w:hyperlink>
      <w:r w:rsidRPr="00F96A24">
        <w:rPr>
          <w:rFonts w:ascii="Calibri" w:hAnsi="Calibri" w:cs="Calibri"/>
        </w:rPr>
        <w:t xml:space="preserve">. </w:t>
      </w:r>
      <w:r w:rsidRPr="00F96A24">
        <w:rPr>
          <w:rFonts w:ascii="Calibri" w:hAnsi="Calibri" w:cs="Calibri"/>
          <w:lang w:val="en-IE"/>
        </w:rPr>
        <w:t>Members also have access to a full suite of HR templates regarding Absence management on the ISME HR Hub</w:t>
      </w:r>
    </w:p>
    <w:p w14:paraId="12533BC1" w14:textId="77777777" w:rsidR="00FB0303" w:rsidRPr="00FB0303" w:rsidRDefault="00FB0303" w:rsidP="00FB0303">
      <w:pPr>
        <w:contextualSpacing/>
        <w:mirrorIndents/>
        <w:rPr>
          <w:rFonts w:ascii="Calibri" w:hAnsi="Calibri" w:cs="Calibri"/>
          <w:lang w:val="en-GB"/>
        </w:rPr>
      </w:pPr>
    </w:p>
    <w:p w14:paraId="59BA710F" w14:textId="7FD7E796" w:rsidR="0093479D" w:rsidRDefault="0093479D" w:rsidP="000D452E">
      <w:pPr>
        <w:contextualSpacing/>
        <w:mirrorIndents/>
        <w:rPr>
          <w:rFonts w:ascii="Calibri" w:hAnsi="Calibri" w:cs="Calibri"/>
        </w:rPr>
      </w:pPr>
    </w:p>
    <w:p w14:paraId="397F27D0" w14:textId="77777777" w:rsidR="00DA6049" w:rsidRPr="006E7526" w:rsidRDefault="00DA6049" w:rsidP="000D452E">
      <w:pPr>
        <w:contextualSpacing/>
        <w:mirrorIndents/>
        <w:rPr>
          <w:rFonts w:ascii="Calibri" w:hAnsi="Calibri" w:cs="Calibri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C5DFC" w:rsidRPr="006E7526" w14:paraId="797EEF3F" w14:textId="77777777" w:rsidTr="000B2602">
        <w:trPr>
          <w:tblCellSpacing w:w="0" w:type="dxa"/>
        </w:trPr>
        <w:tc>
          <w:tcPr>
            <w:tcW w:w="5000" w:type="pct"/>
            <w:hideMark/>
          </w:tcPr>
          <w:p w14:paraId="425E5A2D" w14:textId="6997BD05" w:rsidR="003E6558" w:rsidRPr="006E7526" w:rsidRDefault="003E6558" w:rsidP="000D452E">
            <w:pPr>
              <w:contextualSpacing/>
              <w:mirrorIndents/>
              <w:rPr>
                <w:rFonts w:ascii="Calibri" w:hAnsi="Calibri" w:cs="Calibri"/>
                <w:b/>
                <w:bCs/>
              </w:rPr>
            </w:pPr>
          </w:p>
          <w:p w14:paraId="3925C838" w14:textId="77777777" w:rsidR="007C5DFC" w:rsidRPr="006E7526" w:rsidRDefault="007C5DFC" w:rsidP="000D452E">
            <w:pPr>
              <w:contextualSpacing/>
              <w:mirrorIndents/>
              <w:jc w:val="center"/>
              <w:rPr>
                <w:rFonts w:ascii="Calibri" w:eastAsia="Aptos" w:hAnsi="Calibri" w:cs="Calibri"/>
                <w:kern w:val="2"/>
                <w:lang w:val="en-GB"/>
              </w:rPr>
            </w:pPr>
          </w:p>
        </w:tc>
      </w:tr>
    </w:tbl>
    <w:p w14:paraId="38254AA0" w14:textId="660DAC12" w:rsidR="00B7724C" w:rsidRPr="006E7526" w:rsidRDefault="00B7724C" w:rsidP="000D452E">
      <w:pPr>
        <w:spacing w:after="160" w:line="259" w:lineRule="auto"/>
        <w:contextualSpacing/>
        <w:mirrorIndents/>
        <w:jc w:val="both"/>
        <w:rPr>
          <w:rFonts w:ascii="Calibri" w:eastAsia="Calibri" w:hAnsi="Calibri" w:cs="Calibri"/>
          <w:kern w:val="2"/>
          <w:shd w:val="clear" w:color="auto" w:fill="FFFFFF"/>
          <w:lang w:val="en-IE"/>
        </w:rPr>
      </w:pPr>
      <w:r w:rsidRPr="006E7526">
        <w:rPr>
          <w:rFonts w:ascii="Calibri" w:eastAsia="Calibri" w:hAnsi="Calibri" w:cs="Calibri"/>
          <w:kern w:val="2"/>
          <w:shd w:val="clear" w:color="auto" w:fill="FFFFFF"/>
          <w:lang w:val="en-IE"/>
        </w:rPr>
        <w:t xml:space="preserve">. </w:t>
      </w:r>
    </w:p>
    <w:p w14:paraId="3DD72DDD" w14:textId="77777777" w:rsidR="00154C0E" w:rsidRPr="00C04F75" w:rsidRDefault="00154C0E" w:rsidP="000D452E">
      <w:pPr>
        <w:contextualSpacing/>
        <w:mirrorIndents/>
        <w:rPr>
          <w:rFonts w:ascii="Calibri" w:hAnsi="Calibri" w:cs="Calibri"/>
          <w:lang w:val="en-IE"/>
        </w:rPr>
      </w:pPr>
    </w:p>
    <w:sectPr w:rsidR="00154C0E" w:rsidRPr="00C0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809B2" w14:textId="77777777" w:rsidR="00476928" w:rsidRDefault="00476928" w:rsidP="009B29F3">
      <w:r>
        <w:separator/>
      </w:r>
    </w:p>
  </w:endnote>
  <w:endnote w:type="continuationSeparator" w:id="0">
    <w:p w14:paraId="188225AF" w14:textId="77777777" w:rsidR="00476928" w:rsidRDefault="00476928" w:rsidP="009B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0E8AC" w14:textId="77777777" w:rsidR="00476928" w:rsidRDefault="00476928" w:rsidP="009B29F3">
      <w:r>
        <w:separator/>
      </w:r>
    </w:p>
  </w:footnote>
  <w:footnote w:type="continuationSeparator" w:id="0">
    <w:p w14:paraId="4F7C9B4D" w14:textId="77777777" w:rsidR="00476928" w:rsidRDefault="00476928" w:rsidP="009B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22E8"/>
    <w:multiLevelType w:val="hybridMultilevel"/>
    <w:tmpl w:val="A4969640"/>
    <w:lvl w:ilvl="0" w:tplc="919C8178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307D22">
      <w:start w:val="1"/>
      <w:numFmt w:val="bullet"/>
      <w:lvlText w:val="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D4797E" w:tentative="1">
      <w:start w:val="1"/>
      <w:numFmt w:val="bullet"/>
      <w:lvlText w:val="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1EA7F6" w:tentative="1">
      <w:start w:val="1"/>
      <w:numFmt w:val="bullet"/>
      <w:lvlText w:val="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3A9694" w:tentative="1">
      <w:start w:val="1"/>
      <w:numFmt w:val="bullet"/>
      <w:lvlText w:val="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64DF62" w:tentative="1">
      <w:start w:val="1"/>
      <w:numFmt w:val="bullet"/>
      <w:lvlText w:val="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422A08" w:tentative="1">
      <w:start w:val="1"/>
      <w:numFmt w:val="bullet"/>
      <w:lvlText w:val="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CE6E26" w:tentative="1">
      <w:start w:val="1"/>
      <w:numFmt w:val="bullet"/>
      <w:lvlText w:val="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A44DA6" w:tentative="1">
      <w:start w:val="1"/>
      <w:numFmt w:val="bullet"/>
      <w:lvlText w:val="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AE179FA"/>
    <w:multiLevelType w:val="multilevel"/>
    <w:tmpl w:val="943C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C68A8"/>
    <w:multiLevelType w:val="hybridMultilevel"/>
    <w:tmpl w:val="8A42B1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E1D10"/>
    <w:multiLevelType w:val="hybridMultilevel"/>
    <w:tmpl w:val="4AE23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5C6A"/>
    <w:multiLevelType w:val="hybridMultilevel"/>
    <w:tmpl w:val="1EEC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02397"/>
    <w:multiLevelType w:val="multilevel"/>
    <w:tmpl w:val="06E8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65E3F"/>
    <w:multiLevelType w:val="hybridMultilevel"/>
    <w:tmpl w:val="BE5ED272"/>
    <w:lvl w:ilvl="0" w:tplc="E42AA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2BE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C9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A4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29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8C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44C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865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AE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D474DA"/>
    <w:multiLevelType w:val="multilevel"/>
    <w:tmpl w:val="38A0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302D52"/>
    <w:multiLevelType w:val="hybridMultilevel"/>
    <w:tmpl w:val="A93E2D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0A3B"/>
    <w:multiLevelType w:val="hybridMultilevel"/>
    <w:tmpl w:val="D33AC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050F1"/>
    <w:multiLevelType w:val="multilevel"/>
    <w:tmpl w:val="E840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80C83"/>
    <w:multiLevelType w:val="hybridMultilevel"/>
    <w:tmpl w:val="265E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C08F2"/>
    <w:multiLevelType w:val="hybridMultilevel"/>
    <w:tmpl w:val="A30C7A76"/>
    <w:lvl w:ilvl="0" w:tplc="A3289D58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C05314">
      <w:numFmt w:val="bullet"/>
      <w:lvlText w:val="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32D4D4" w:tentative="1">
      <w:start w:val="1"/>
      <w:numFmt w:val="bullet"/>
      <w:lvlText w:val="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D4AD3A" w:tentative="1">
      <w:start w:val="1"/>
      <w:numFmt w:val="bullet"/>
      <w:lvlText w:val="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8A550A" w:tentative="1">
      <w:start w:val="1"/>
      <w:numFmt w:val="bullet"/>
      <w:lvlText w:val="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6E9A48" w:tentative="1">
      <w:start w:val="1"/>
      <w:numFmt w:val="bullet"/>
      <w:lvlText w:val="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4C454E" w:tentative="1">
      <w:start w:val="1"/>
      <w:numFmt w:val="bullet"/>
      <w:lvlText w:val="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FC8396" w:tentative="1">
      <w:start w:val="1"/>
      <w:numFmt w:val="bullet"/>
      <w:lvlText w:val="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98A3CA" w:tentative="1">
      <w:start w:val="1"/>
      <w:numFmt w:val="bullet"/>
      <w:lvlText w:val="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B9D3364"/>
    <w:multiLevelType w:val="hybridMultilevel"/>
    <w:tmpl w:val="2ED89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9591F"/>
    <w:multiLevelType w:val="hybridMultilevel"/>
    <w:tmpl w:val="14241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E7FDC"/>
    <w:multiLevelType w:val="hybridMultilevel"/>
    <w:tmpl w:val="F2E4B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316179">
    <w:abstractNumId w:val="9"/>
  </w:num>
  <w:num w:numId="2" w16cid:durableId="1945072091">
    <w:abstractNumId w:val="4"/>
  </w:num>
  <w:num w:numId="3" w16cid:durableId="1880706281">
    <w:abstractNumId w:val="8"/>
  </w:num>
  <w:num w:numId="4" w16cid:durableId="1724861858">
    <w:abstractNumId w:val="15"/>
  </w:num>
  <w:num w:numId="5" w16cid:durableId="1397318512">
    <w:abstractNumId w:val="2"/>
  </w:num>
  <w:num w:numId="6" w16cid:durableId="593057030">
    <w:abstractNumId w:val="11"/>
  </w:num>
  <w:num w:numId="7" w16cid:durableId="1699547882">
    <w:abstractNumId w:val="9"/>
  </w:num>
  <w:num w:numId="8" w16cid:durableId="1019772159">
    <w:abstractNumId w:val="1"/>
  </w:num>
  <w:num w:numId="9" w16cid:durableId="705451122">
    <w:abstractNumId w:val="10"/>
  </w:num>
  <w:num w:numId="10" w16cid:durableId="1876846468">
    <w:abstractNumId w:val="7"/>
  </w:num>
  <w:num w:numId="11" w16cid:durableId="345182519">
    <w:abstractNumId w:val="5"/>
  </w:num>
  <w:num w:numId="12" w16cid:durableId="1925265721">
    <w:abstractNumId w:val="12"/>
  </w:num>
  <w:num w:numId="13" w16cid:durableId="402995561">
    <w:abstractNumId w:val="0"/>
  </w:num>
  <w:num w:numId="14" w16cid:durableId="172427397">
    <w:abstractNumId w:val="6"/>
  </w:num>
  <w:num w:numId="15" w16cid:durableId="192350257">
    <w:abstractNumId w:val="13"/>
  </w:num>
  <w:num w:numId="16" w16cid:durableId="583342231">
    <w:abstractNumId w:val="14"/>
  </w:num>
  <w:num w:numId="17" w16cid:durableId="672999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F6"/>
    <w:rsid w:val="00030330"/>
    <w:rsid w:val="00076A5F"/>
    <w:rsid w:val="000B2602"/>
    <w:rsid w:val="000C7261"/>
    <w:rsid w:val="000D452E"/>
    <w:rsid w:val="000E0D7F"/>
    <w:rsid w:val="001250F6"/>
    <w:rsid w:val="00140259"/>
    <w:rsid w:val="00147D29"/>
    <w:rsid w:val="00154C0E"/>
    <w:rsid w:val="0015565C"/>
    <w:rsid w:val="001750EB"/>
    <w:rsid w:val="00266944"/>
    <w:rsid w:val="002D59B7"/>
    <w:rsid w:val="002E70AE"/>
    <w:rsid w:val="00323425"/>
    <w:rsid w:val="00362EE0"/>
    <w:rsid w:val="00394EE3"/>
    <w:rsid w:val="003E6558"/>
    <w:rsid w:val="003F50C9"/>
    <w:rsid w:val="003F7862"/>
    <w:rsid w:val="0040628C"/>
    <w:rsid w:val="00422CFF"/>
    <w:rsid w:val="00460227"/>
    <w:rsid w:val="004635A9"/>
    <w:rsid w:val="00471F81"/>
    <w:rsid w:val="00476928"/>
    <w:rsid w:val="004865BA"/>
    <w:rsid w:val="0049458F"/>
    <w:rsid w:val="004C6D24"/>
    <w:rsid w:val="00523318"/>
    <w:rsid w:val="00536519"/>
    <w:rsid w:val="005B103E"/>
    <w:rsid w:val="005B7B40"/>
    <w:rsid w:val="0065143D"/>
    <w:rsid w:val="006C6783"/>
    <w:rsid w:val="006D39CC"/>
    <w:rsid w:val="006E2596"/>
    <w:rsid w:val="006E7526"/>
    <w:rsid w:val="00705CD9"/>
    <w:rsid w:val="0070648D"/>
    <w:rsid w:val="00720BC0"/>
    <w:rsid w:val="00743549"/>
    <w:rsid w:val="00744B26"/>
    <w:rsid w:val="0079017B"/>
    <w:rsid w:val="007969A8"/>
    <w:rsid w:val="007C5DFC"/>
    <w:rsid w:val="007D517A"/>
    <w:rsid w:val="008015C7"/>
    <w:rsid w:val="00803184"/>
    <w:rsid w:val="008321C6"/>
    <w:rsid w:val="0087657E"/>
    <w:rsid w:val="00887866"/>
    <w:rsid w:val="008D4525"/>
    <w:rsid w:val="008E58B7"/>
    <w:rsid w:val="00926B65"/>
    <w:rsid w:val="0093479D"/>
    <w:rsid w:val="00951FFE"/>
    <w:rsid w:val="00957EC1"/>
    <w:rsid w:val="00983F5A"/>
    <w:rsid w:val="009A4CE5"/>
    <w:rsid w:val="009B29F3"/>
    <w:rsid w:val="009B6A04"/>
    <w:rsid w:val="009C7477"/>
    <w:rsid w:val="009D2FE9"/>
    <w:rsid w:val="00A71A6A"/>
    <w:rsid w:val="00A753F8"/>
    <w:rsid w:val="00AD34AF"/>
    <w:rsid w:val="00B225F2"/>
    <w:rsid w:val="00B3343F"/>
    <w:rsid w:val="00B7114D"/>
    <w:rsid w:val="00B7724C"/>
    <w:rsid w:val="00BE0AF7"/>
    <w:rsid w:val="00BE7406"/>
    <w:rsid w:val="00C04F75"/>
    <w:rsid w:val="00C628D7"/>
    <w:rsid w:val="00CE1B55"/>
    <w:rsid w:val="00CE4229"/>
    <w:rsid w:val="00D40BB3"/>
    <w:rsid w:val="00D86B16"/>
    <w:rsid w:val="00DA6049"/>
    <w:rsid w:val="00E353E1"/>
    <w:rsid w:val="00E3570E"/>
    <w:rsid w:val="00E40E9B"/>
    <w:rsid w:val="00E43427"/>
    <w:rsid w:val="00E543B8"/>
    <w:rsid w:val="00E74710"/>
    <w:rsid w:val="00EE0DA5"/>
    <w:rsid w:val="00EE44AD"/>
    <w:rsid w:val="00EF1BCB"/>
    <w:rsid w:val="00F15D4F"/>
    <w:rsid w:val="00F45CA1"/>
    <w:rsid w:val="00F96A24"/>
    <w:rsid w:val="00FA1A02"/>
    <w:rsid w:val="00FB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AED8D"/>
  <w15:chartTrackingRefBased/>
  <w15:docId w15:val="{857D32B4-168D-452F-83DF-DB0DF2F7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0F6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0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0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0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0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0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0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0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0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0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0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34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4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E74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B29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9F3"/>
    <w:rPr>
      <w:rFonts w:ascii="Aptos" w:hAnsi="Aptos" w:cs="Aptos"/>
      <w:kern w:val="0"/>
    </w:rPr>
  </w:style>
  <w:style w:type="paragraph" w:styleId="Footer">
    <w:name w:val="footer"/>
    <w:basedOn w:val="Normal"/>
    <w:link w:val="FooterChar"/>
    <w:uiPriority w:val="99"/>
    <w:unhideWhenUsed/>
    <w:rsid w:val="009B29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9F3"/>
    <w:rPr>
      <w:rFonts w:ascii="Aptos" w:hAnsi="Aptos" w:cs="Apto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2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40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85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9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R@ISME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347119-b66a-4d8f-874a-22a9818dff0c">
      <Terms xmlns="http://schemas.microsoft.com/office/infopath/2007/PartnerControls"/>
    </lcf76f155ced4ddcb4097134ff3c332f>
    <TaxCatchAll xmlns="f084ddd1-ce7f-4f49-98eb-28639c2cd1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1281644D93143A5ADFA2E6C8F5781" ma:contentTypeVersion="15" ma:contentTypeDescription="Create a new document." ma:contentTypeScope="" ma:versionID="70faae7ca99dbf2ef044502f6344a92b">
  <xsd:schema xmlns:xsd="http://www.w3.org/2001/XMLSchema" xmlns:xs="http://www.w3.org/2001/XMLSchema" xmlns:p="http://schemas.microsoft.com/office/2006/metadata/properties" xmlns:ns2="75347119-b66a-4d8f-874a-22a9818dff0c" xmlns:ns3="f084ddd1-ce7f-4f49-98eb-28639c2cd110" targetNamespace="http://schemas.microsoft.com/office/2006/metadata/properties" ma:root="true" ma:fieldsID="9c2f691e86837ea797d58454aa8b9e20" ns2:_="" ns3:_="">
    <xsd:import namespace="75347119-b66a-4d8f-874a-22a9818dff0c"/>
    <xsd:import namespace="f084ddd1-ce7f-4f49-98eb-28639c2cd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7119-b66a-4d8f-874a-22a9818df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a3f033-2781-4fe5-ab58-54533a2c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4ddd1-ce7f-4f49-98eb-28639c2cd1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84fbda-c16b-4130-a305-83904ab82121}" ma:internalName="TaxCatchAll" ma:showField="CatchAllData" ma:web="f084ddd1-ce7f-4f49-98eb-28639c2cd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ACEAD-35AE-44D6-A84A-F177D733B3C7}">
  <ds:schemaRefs>
    <ds:schemaRef ds:uri="http://schemas.microsoft.com/office/2006/metadata/properties"/>
    <ds:schemaRef ds:uri="http://schemas.microsoft.com/office/infopath/2007/PartnerControls"/>
    <ds:schemaRef ds:uri="75347119-b66a-4d8f-874a-22a9818dff0c"/>
    <ds:schemaRef ds:uri="f084ddd1-ce7f-4f49-98eb-28639c2cd110"/>
  </ds:schemaRefs>
</ds:datastoreItem>
</file>

<file path=customXml/itemProps2.xml><?xml version="1.0" encoding="utf-8"?>
<ds:datastoreItem xmlns:ds="http://schemas.openxmlformats.org/officeDocument/2006/customXml" ds:itemID="{45BE06C6-AEFD-4D1B-9FE2-1D8EE4F0B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EF150-2399-44AE-8B1F-F5362CCB9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47119-b66a-4d8f-874a-22a9818dff0c"/>
    <ds:schemaRef ds:uri="f084ddd1-ce7f-4f49-98eb-28639c2cd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Ellis</dc:creator>
  <cp:keywords/>
  <dc:description/>
  <cp:lastModifiedBy>Sinead Byrne</cp:lastModifiedBy>
  <cp:revision>66</cp:revision>
  <dcterms:created xsi:type="dcterms:W3CDTF">2024-10-23T13:51:00Z</dcterms:created>
  <dcterms:modified xsi:type="dcterms:W3CDTF">2024-10-23T15:32:00Z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0x010100B271281644D93143A5ADFA2E6C8F5781</vt:lpwstr>
  </property>
  <property fmtid="{D5CDD505-2E9C-101B-9397-08002B2CF9AE}" pid="3" name="MediaServiceImageTags">
    <vt:lpwstr/>
  </property>
</Properties>
</file>