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6D8C" w14:textId="0FD8BC37" w:rsidR="00C309E3" w:rsidRPr="00193403" w:rsidRDefault="00C309E3" w:rsidP="00530E7E">
      <w:pPr>
        <w:pStyle w:val="NoSpacing"/>
        <w:jc w:val="center"/>
        <w:rPr>
          <w:rFonts w:cstheme="minorHAnsi"/>
          <w:sz w:val="40"/>
          <w:szCs w:val="40"/>
        </w:rPr>
      </w:pPr>
      <w:bookmarkStart w:id="0" w:name="_Toc242073360"/>
      <w:bookmarkStart w:id="1" w:name="_Toc242073419"/>
      <w:r w:rsidRPr="00193403">
        <w:rPr>
          <w:rFonts w:cstheme="minorHAnsi"/>
          <w:sz w:val="40"/>
          <w:szCs w:val="40"/>
        </w:rPr>
        <w:t xml:space="preserve">BEREAVEMENT </w:t>
      </w:r>
      <w:r w:rsidR="001F001F">
        <w:rPr>
          <w:rFonts w:cstheme="minorHAnsi"/>
          <w:sz w:val="40"/>
          <w:szCs w:val="40"/>
        </w:rPr>
        <w:t>&amp;</w:t>
      </w:r>
      <w:r w:rsidRPr="00193403">
        <w:rPr>
          <w:rFonts w:cstheme="minorHAnsi"/>
          <w:sz w:val="40"/>
          <w:szCs w:val="40"/>
        </w:rPr>
        <w:t xml:space="preserve"> COMPASSIONATE LEAVE</w:t>
      </w:r>
      <w:bookmarkEnd w:id="0"/>
      <w:bookmarkEnd w:id="1"/>
    </w:p>
    <w:p w14:paraId="050B9950" w14:textId="479B119E" w:rsidR="00C309E3" w:rsidRPr="00193403" w:rsidRDefault="00C309E3" w:rsidP="00530E7E">
      <w:pPr>
        <w:pStyle w:val="NoSpacing"/>
        <w:rPr>
          <w:rFonts w:cstheme="minorHAnsi"/>
          <w:lang w:val="en-GB"/>
        </w:rPr>
      </w:pPr>
    </w:p>
    <w:p w14:paraId="22FFC540" w14:textId="77777777" w:rsidR="00530E7E" w:rsidRPr="00193403" w:rsidRDefault="00530E7E" w:rsidP="00530E7E">
      <w:pPr>
        <w:pStyle w:val="NoSpacing"/>
        <w:rPr>
          <w:rFonts w:cstheme="minorHAnsi"/>
          <w:lang w:val="en-GB"/>
        </w:rPr>
      </w:pPr>
    </w:p>
    <w:p w14:paraId="56050700" w14:textId="3BB74366" w:rsidR="00530E7E" w:rsidRPr="00193403" w:rsidRDefault="00530E7E" w:rsidP="00530E7E">
      <w:pPr>
        <w:pStyle w:val="NoSpacing"/>
        <w:rPr>
          <w:rFonts w:cstheme="minorHAnsi"/>
          <w:b/>
        </w:rPr>
      </w:pPr>
      <w:r w:rsidRPr="00193403">
        <w:rPr>
          <w:rFonts w:cstheme="minorHAnsi"/>
          <w:b/>
        </w:rPr>
        <w:t>Scope</w:t>
      </w:r>
    </w:p>
    <w:p w14:paraId="19EA7088" w14:textId="77777777" w:rsidR="00530E7E" w:rsidRPr="00193403" w:rsidRDefault="00530E7E" w:rsidP="00530E7E">
      <w:pPr>
        <w:pStyle w:val="NoSpacing"/>
        <w:rPr>
          <w:rFonts w:cstheme="minorHAnsi"/>
        </w:rPr>
      </w:pPr>
    </w:p>
    <w:p w14:paraId="51EBC99A" w14:textId="794F342B" w:rsidR="00530E7E" w:rsidRPr="00193403" w:rsidRDefault="00530E7E" w:rsidP="00530E7E">
      <w:pPr>
        <w:pStyle w:val="NoSpacing"/>
        <w:rPr>
          <w:rFonts w:cstheme="minorHAnsi"/>
        </w:rPr>
      </w:pPr>
      <w:r w:rsidRPr="00193403">
        <w:rPr>
          <w:rFonts w:cstheme="minorHAnsi"/>
        </w:rPr>
        <w:t xml:space="preserve">This policy applies to all operational employees of </w:t>
      </w:r>
      <w:r w:rsidRPr="00193403">
        <w:rPr>
          <w:rFonts w:cstheme="minorHAnsi"/>
          <w:color w:val="FF0000"/>
        </w:rPr>
        <w:t>COMPANY</w:t>
      </w:r>
    </w:p>
    <w:p w14:paraId="5DA1FBA0" w14:textId="77777777" w:rsidR="00530E7E" w:rsidRPr="00193403" w:rsidRDefault="00530E7E" w:rsidP="00530E7E">
      <w:pPr>
        <w:pStyle w:val="NoSpacing"/>
        <w:rPr>
          <w:rFonts w:cstheme="minorHAnsi"/>
        </w:rPr>
      </w:pPr>
    </w:p>
    <w:p w14:paraId="4FA660CA" w14:textId="38FDBCB2" w:rsidR="00530E7E" w:rsidRPr="00193403" w:rsidRDefault="00530E7E" w:rsidP="00530E7E">
      <w:pPr>
        <w:pStyle w:val="NoSpacing"/>
        <w:rPr>
          <w:rFonts w:cstheme="minorHAnsi"/>
          <w:b/>
        </w:rPr>
      </w:pPr>
      <w:r w:rsidRPr="00193403">
        <w:rPr>
          <w:rFonts w:cstheme="minorHAnsi"/>
          <w:b/>
        </w:rPr>
        <w:t xml:space="preserve">Purpose </w:t>
      </w:r>
    </w:p>
    <w:p w14:paraId="3CDBF974" w14:textId="77777777" w:rsidR="00530E7E" w:rsidRPr="00193403" w:rsidRDefault="00530E7E" w:rsidP="00530E7E">
      <w:pPr>
        <w:pStyle w:val="NoSpacing"/>
        <w:rPr>
          <w:rFonts w:cstheme="minorHAnsi"/>
        </w:rPr>
      </w:pPr>
    </w:p>
    <w:p w14:paraId="5DFDA956" w14:textId="297F3220" w:rsidR="00530E7E" w:rsidRPr="00193403" w:rsidRDefault="00530E7E" w:rsidP="00530E7E">
      <w:pPr>
        <w:pStyle w:val="NoSpacing"/>
        <w:rPr>
          <w:rFonts w:cstheme="minorHAnsi"/>
        </w:rPr>
      </w:pPr>
      <w:r w:rsidRPr="00193403">
        <w:rPr>
          <w:rFonts w:cstheme="minorHAnsi"/>
        </w:rPr>
        <w:t xml:space="preserve">The purpose of the Bereavement Policy is to provide time off for an employee in the event of the death of a family relative. Approval of the Bereavement Policy rests with </w:t>
      </w:r>
      <w:r w:rsidRPr="00193403">
        <w:rPr>
          <w:rFonts w:cstheme="minorHAnsi"/>
          <w:color w:val="FF0000"/>
        </w:rPr>
        <w:t>MD/GM/CEO/HR</w:t>
      </w:r>
      <w:r w:rsidR="00193403" w:rsidRPr="00193403">
        <w:rPr>
          <w:rFonts w:cstheme="minorHAnsi"/>
          <w:color w:val="FF0000"/>
        </w:rPr>
        <w:t>/LINE MANAGER</w:t>
      </w:r>
      <w:r w:rsidRPr="00193403">
        <w:rPr>
          <w:rFonts w:cstheme="minorHAnsi"/>
        </w:rPr>
        <w:t>.</w:t>
      </w:r>
    </w:p>
    <w:p w14:paraId="67562C0B" w14:textId="77777777" w:rsidR="00530E7E" w:rsidRPr="00193403" w:rsidRDefault="00530E7E" w:rsidP="00530E7E">
      <w:pPr>
        <w:pStyle w:val="NoSpacing"/>
        <w:rPr>
          <w:rFonts w:cstheme="minorHAnsi"/>
        </w:rPr>
      </w:pPr>
    </w:p>
    <w:p w14:paraId="6FE4A019" w14:textId="7731BA65" w:rsidR="00530E7E" w:rsidRPr="00193403" w:rsidRDefault="00530E7E" w:rsidP="00530E7E">
      <w:pPr>
        <w:pStyle w:val="NoSpacing"/>
        <w:rPr>
          <w:rFonts w:cstheme="minorHAnsi"/>
        </w:rPr>
      </w:pPr>
      <w:r w:rsidRPr="00193403">
        <w:rPr>
          <w:rFonts w:cstheme="minorHAnsi"/>
          <w:b/>
        </w:rPr>
        <w:t>Related Policies, Procedures &amp; Processes</w:t>
      </w:r>
    </w:p>
    <w:p w14:paraId="30DED3D2" w14:textId="77777777" w:rsidR="00530E7E" w:rsidRPr="00193403" w:rsidRDefault="00530E7E" w:rsidP="00530E7E">
      <w:pPr>
        <w:pStyle w:val="NoSpacing"/>
        <w:rPr>
          <w:rFonts w:cstheme="minorHAnsi"/>
        </w:rPr>
      </w:pPr>
    </w:p>
    <w:p w14:paraId="6F70F920" w14:textId="77777777" w:rsidR="00530E7E" w:rsidRPr="00193403" w:rsidRDefault="00530E7E" w:rsidP="00530E7E">
      <w:pPr>
        <w:pStyle w:val="NoSpacing"/>
        <w:rPr>
          <w:rFonts w:cstheme="minorHAnsi"/>
        </w:rPr>
      </w:pPr>
      <w:r w:rsidRPr="00193403">
        <w:rPr>
          <w:rFonts w:cstheme="minorHAnsi"/>
        </w:rPr>
        <w:t>This policy should also be read in conjunction with the following:</w:t>
      </w:r>
    </w:p>
    <w:p w14:paraId="5C1238A9" w14:textId="77777777" w:rsidR="00530E7E" w:rsidRPr="00193403" w:rsidRDefault="00530E7E" w:rsidP="00530E7E">
      <w:pPr>
        <w:pStyle w:val="NoSpacing"/>
        <w:rPr>
          <w:rFonts w:cstheme="minorHAnsi"/>
        </w:rPr>
      </w:pPr>
    </w:p>
    <w:p w14:paraId="421484EF" w14:textId="77777777" w:rsidR="00530E7E" w:rsidRPr="00193403" w:rsidRDefault="00530E7E" w:rsidP="00530E7E">
      <w:pPr>
        <w:pStyle w:val="NoSpacing"/>
        <w:rPr>
          <w:rFonts w:cstheme="minorHAnsi"/>
        </w:rPr>
      </w:pPr>
      <w:r w:rsidRPr="00193403">
        <w:rPr>
          <w:rFonts w:cstheme="minorHAnsi"/>
        </w:rPr>
        <w:t>•</w:t>
      </w:r>
      <w:r w:rsidRPr="00193403">
        <w:rPr>
          <w:rFonts w:cstheme="minorHAnsi"/>
        </w:rPr>
        <w:tab/>
        <w:t>Disciplinary Policy</w:t>
      </w:r>
    </w:p>
    <w:p w14:paraId="283CA0FD" w14:textId="77777777" w:rsidR="00530E7E" w:rsidRPr="00193403" w:rsidRDefault="00530E7E" w:rsidP="00530E7E">
      <w:pPr>
        <w:pStyle w:val="NoSpacing"/>
        <w:rPr>
          <w:rFonts w:cstheme="minorHAnsi"/>
        </w:rPr>
      </w:pPr>
      <w:r w:rsidRPr="00193403">
        <w:rPr>
          <w:rFonts w:cstheme="minorHAnsi"/>
        </w:rPr>
        <w:t>•</w:t>
      </w:r>
      <w:r w:rsidRPr="00193403">
        <w:rPr>
          <w:rFonts w:cstheme="minorHAnsi"/>
        </w:rPr>
        <w:tab/>
        <w:t xml:space="preserve">Annual Leave Policy </w:t>
      </w:r>
    </w:p>
    <w:p w14:paraId="38F8CD6C" w14:textId="77777777" w:rsidR="00530E7E" w:rsidRPr="00193403" w:rsidRDefault="00530E7E" w:rsidP="00530E7E">
      <w:pPr>
        <w:pStyle w:val="NoSpacing"/>
        <w:rPr>
          <w:rFonts w:cstheme="minorHAnsi"/>
        </w:rPr>
      </w:pPr>
      <w:r w:rsidRPr="00193403">
        <w:rPr>
          <w:rFonts w:cstheme="minorHAnsi"/>
        </w:rPr>
        <w:t>•</w:t>
      </w:r>
      <w:r w:rsidRPr="00193403">
        <w:rPr>
          <w:rFonts w:cstheme="minorHAnsi"/>
        </w:rPr>
        <w:tab/>
        <w:t xml:space="preserve">Grievance Policy  </w:t>
      </w:r>
    </w:p>
    <w:p w14:paraId="3BED74F6" w14:textId="77777777" w:rsidR="00530E7E" w:rsidRPr="00193403" w:rsidRDefault="00530E7E" w:rsidP="00530E7E">
      <w:pPr>
        <w:pStyle w:val="NoSpacing"/>
        <w:rPr>
          <w:rFonts w:cstheme="minorHAnsi"/>
        </w:rPr>
      </w:pPr>
    </w:p>
    <w:p w14:paraId="1FACDB35" w14:textId="5B5D9E13" w:rsidR="00530E7E" w:rsidRPr="00193403" w:rsidRDefault="00530E7E" w:rsidP="00530E7E">
      <w:pPr>
        <w:pStyle w:val="NoSpacing"/>
        <w:rPr>
          <w:rFonts w:cstheme="minorHAnsi"/>
          <w:b/>
        </w:rPr>
      </w:pPr>
      <w:r w:rsidRPr="00193403">
        <w:rPr>
          <w:rFonts w:cstheme="minorHAnsi"/>
          <w:b/>
        </w:rPr>
        <w:t>Policy Outline</w:t>
      </w:r>
    </w:p>
    <w:p w14:paraId="456251ED" w14:textId="77777777" w:rsidR="00530E7E" w:rsidRPr="00193403" w:rsidRDefault="00530E7E" w:rsidP="00530E7E">
      <w:pPr>
        <w:pStyle w:val="NoSpacing"/>
        <w:rPr>
          <w:rFonts w:cstheme="minorHAnsi"/>
        </w:rPr>
      </w:pPr>
    </w:p>
    <w:p w14:paraId="67EDCA7C" w14:textId="77777777" w:rsidR="00530E7E" w:rsidRPr="00193403" w:rsidRDefault="00530E7E" w:rsidP="00530E7E">
      <w:pPr>
        <w:pStyle w:val="NoSpacing"/>
        <w:rPr>
          <w:rFonts w:cstheme="minorHAnsi"/>
        </w:rPr>
      </w:pPr>
      <w:r w:rsidRPr="00193403">
        <w:rPr>
          <w:rFonts w:cstheme="minorHAnsi"/>
        </w:rPr>
        <w:t xml:space="preserve">Employees may require leave on compassionate grounds due to the bereavement of a family member.  This policy sets out criteria to support employees during what can be a difficult time. An employee is entitled to paid time off to attend the funeral of an immediate family member. </w:t>
      </w:r>
    </w:p>
    <w:p w14:paraId="287DEBA3" w14:textId="6E040BB1" w:rsidR="00530E7E" w:rsidRPr="00193403" w:rsidRDefault="00530E7E" w:rsidP="00530E7E">
      <w:pPr>
        <w:pStyle w:val="NoSpacing"/>
        <w:rPr>
          <w:rFonts w:cstheme="minorHAnsi"/>
        </w:rPr>
      </w:pPr>
      <w:r w:rsidRPr="00193403">
        <w:rPr>
          <w:rFonts w:cstheme="minorHAnsi"/>
        </w:rPr>
        <w:t xml:space="preserve">Bereavement leave is at the discretion of </w:t>
      </w:r>
      <w:r w:rsidR="00193403" w:rsidRPr="00193403">
        <w:rPr>
          <w:rFonts w:cstheme="minorHAnsi"/>
          <w:color w:val="FF0000"/>
        </w:rPr>
        <w:t>MD/GM/CEO/HR/LINE MANAGER</w:t>
      </w:r>
      <w:r w:rsidRPr="00193403">
        <w:rPr>
          <w:rFonts w:cstheme="minorHAnsi"/>
        </w:rPr>
        <w:t xml:space="preserve">. </w:t>
      </w:r>
    </w:p>
    <w:p w14:paraId="01C597F9" w14:textId="77777777" w:rsidR="00530E7E" w:rsidRPr="00193403" w:rsidRDefault="00530E7E" w:rsidP="00530E7E">
      <w:pPr>
        <w:pStyle w:val="NoSpacing"/>
        <w:rPr>
          <w:rFonts w:cstheme="minorHAnsi"/>
        </w:rPr>
      </w:pPr>
    </w:p>
    <w:p w14:paraId="1463D113" w14:textId="7FDF4269" w:rsidR="00530E7E" w:rsidRPr="00193403" w:rsidRDefault="00530E7E" w:rsidP="00530E7E">
      <w:pPr>
        <w:pStyle w:val="NoSpacing"/>
        <w:rPr>
          <w:rFonts w:cstheme="minorHAnsi"/>
        </w:rPr>
      </w:pPr>
      <w:r w:rsidRPr="00193403">
        <w:rPr>
          <w:rFonts w:cstheme="minorHAnsi"/>
        </w:rPr>
        <w:t xml:space="preserve">The company must be notified of the arrangements as soon as possible. If you are unsure if you are entitled to Bereavement </w:t>
      </w:r>
      <w:r w:rsidR="00193403">
        <w:rPr>
          <w:rFonts w:cstheme="minorHAnsi"/>
        </w:rPr>
        <w:t>L</w:t>
      </w:r>
      <w:r w:rsidR="00193403" w:rsidRPr="00193403">
        <w:rPr>
          <w:rFonts w:cstheme="minorHAnsi"/>
        </w:rPr>
        <w:t>eave,</w:t>
      </w:r>
      <w:r w:rsidRPr="00193403">
        <w:rPr>
          <w:rFonts w:cstheme="minorHAnsi"/>
        </w:rPr>
        <w:t xml:space="preserve"> please contact </w:t>
      </w:r>
      <w:r w:rsidR="00193403" w:rsidRPr="00193403">
        <w:rPr>
          <w:rFonts w:cstheme="minorHAnsi"/>
          <w:color w:val="FF0000"/>
        </w:rPr>
        <w:t>MD/GM/CEO/HR/LINE MANAGER</w:t>
      </w:r>
      <w:r w:rsidRPr="00193403">
        <w:rPr>
          <w:rFonts w:cstheme="minorHAnsi"/>
        </w:rPr>
        <w:t xml:space="preserve">. </w:t>
      </w:r>
    </w:p>
    <w:p w14:paraId="4C818DFB" w14:textId="4235625F" w:rsidR="00193403" w:rsidRPr="00193403" w:rsidRDefault="00193403" w:rsidP="00193403">
      <w:pPr>
        <w:pStyle w:val="NoSpacing"/>
        <w:rPr>
          <w:rFonts w:cstheme="minorHAnsi"/>
          <w:lang w:val="en-GB"/>
        </w:rPr>
      </w:pPr>
      <w:r w:rsidRPr="00193403">
        <w:rPr>
          <w:rFonts w:cstheme="minorHAnsi"/>
          <w:lang w:val="en-GB"/>
        </w:rPr>
        <w:t>Bereavement</w:t>
      </w:r>
      <w:r w:rsidRPr="00193403">
        <w:rPr>
          <w:rFonts w:cstheme="minorHAnsi"/>
          <w:lang w:val="en-GB"/>
        </w:rPr>
        <w:t xml:space="preserve"> </w:t>
      </w:r>
      <w:r w:rsidRPr="00193403">
        <w:rPr>
          <w:rFonts w:cstheme="minorHAnsi"/>
          <w:lang w:val="en-GB"/>
        </w:rPr>
        <w:t>leave may be granted under the following conditions:</w:t>
      </w:r>
    </w:p>
    <w:p w14:paraId="2130C275" w14:textId="77777777" w:rsidR="00193403" w:rsidRPr="00193403" w:rsidRDefault="00193403" w:rsidP="00193403">
      <w:pPr>
        <w:pStyle w:val="NoSpacing"/>
        <w:numPr>
          <w:ilvl w:val="0"/>
          <w:numId w:val="11"/>
        </w:numPr>
        <w:rPr>
          <w:lang w:val="en-GB"/>
        </w:rPr>
      </w:pPr>
      <w:r w:rsidRPr="00193403">
        <w:rPr>
          <w:lang w:val="en-GB"/>
        </w:rPr>
        <w:t xml:space="preserve">Up to a maximum of </w:t>
      </w:r>
      <w:r w:rsidRPr="00193403">
        <w:rPr>
          <w:rFonts w:cs="Arial"/>
          <w:b/>
          <w:color w:val="FF0000"/>
        </w:rPr>
        <w:t>X</w:t>
      </w:r>
      <w:r w:rsidRPr="00193403">
        <w:rPr>
          <w:lang w:val="en-GB"/>
        </w:rPr>
        <w:t xml:space="preserve"> days, compassionate leave may be granted on the death of an immediate relative </w:t>
      </w:r>
      <w:r w:rsidRPr="00193403">
        <w:rPr>
          <w:rFonts w:cs="Arial"/>
          <w:b/>
          <w:color w:val="FF0000"/>
        </w:rPr>
        <w:t>OUTLINE RELATIONSHIP</w:t>
      </w:r>
    </w:p>
    <w:p w14:paraId="66A0C809" w14:textId="77777777" w:rsidR="00193403" w:rsidRPr="00193403" w:rsidRDefault="00193403" w:rsidP="00193403">
      <w:pPr>
        <w:pStyle w:val="NoSpacing"/>
        <w:numPr>
          <w:ilvl w:val="0"/>
          <w:numId w:val="11"/>
        </w:numPr>
        <w:rPr>
          <w:lang w:val="en-GB"/>
        </w:rPr>
      </w:pPr>
      <w:r w:rsidRPr="00193403">
        <w:rPr>
          <w:lang w:val="en-GB"/>
        </w:rPr>
        <w:t xml:space="preserve">Up to a maximum of </w:t>
      </w:r>
      <w:r w:rsidRPr="00193403">
        <w:rPr>
          <w:rFonts w:cs="Arial"/>
          <w:b/>
          <w:color w:val="FF0000"/>
        </w:rPr>
        <w:t>X</w:t>
      </w:r>
      <w:r w:rsidRPr="00193403">
        <w:rPr>
          <w:lang w:val="en-GB"/>
        </w:rPr>
        <w:t xml:space="preserve"> days, compassionate leave may be granted on the death of an immediate relative </w:t>
      </w:r>
      <w:r w:rsidRPr="00193403">
        <w:rPr>
          <w:rFonts w:cs="Arial"/>
          <w:b/>
          <w:color w:val="FF0000"/>
        </w:rPr>
        <w:t>OUTLINE RELATIONSHIP</w:t>
      </w:r>
    </w:p>
    <w:p w14:paraId="4126F0B0" w14:textId="77777777" w:rsidR="00193403" w:rsidRPr="00193403" w:rsidRDefault="00193403" w:rsidP="00193403">
      <w:pPr>
        <w:pStyle w:val="NoSpacing"/>
        <w:numPr>
          <w:ilvl w:val="0"/>
          <w:numId w:val="11"/>
        </w:numPr>
        <w:rPr>
          <w:lang w:val="en-GB"/>
        </w:rPr>
      </w:pPr>
      <w:r w:rsidRPr="00193403">
        <w:rPr>
          <w:rFonts w:cs="Arial"/>
        </w:rPr>
        <w:t xml:space="preserve">In the case of </w:t>
      </w:r>
      <w:r w:rsidRPr="00193403">
        <w:rPr>
          <w:rFonts w:cs="Arial"/>
          <w:b/>
          <w:color w:val="FF0000"/>
        </w:rPr>
        <w:t>OUTLINE RELATIONSHIP</w:t>
      </w:r>
      <w:r w:rsidRPr="00193403">
        <w:rPr>
          <w:rFonts w:cs="Arial"/>
        </w:rPr>
        <w:t xml:space="preserve">, this is reduced to </w:t>
      </w:r>
      <w:r w:rsidRPr="00193403">
        <w:rPr>
          <w:rFonts w:cs="Arial"/>
          <w:b/>
          <w:color w:val="FF0000"/>
        </w:rPr>
        <w:t>X</w:t>
      </w:r>
      <w:r w:rsidRPr="00193403">
        <w:rPr>
          <w:rFonts w:cs="Arial"/>
        </w:rPr>
        <w:t xml:space="preserve"> days. </w:t>
      </w:r>
    </w:p>
    <w:p w14:paraId="2624D1FD" w14:textId="77777777" w:rsidR="00530E7E" w:rsidRPr="00193403" w:rsidRDefault="00530E7E" w:rsidP="00530E7E">
      <w:pPr>
        <w:pStyle w:val="NoSpacing"/>
        <w:rPr>
          <w:rFonts w:cstheme="minorHAnsi"/>
        </w:rPr>
      </w:pPr>
    </w:p>
    <w:p w14:paraId="3350A2FC" w14:textId="5B7A3BDD" w:rsidR="00193403" w:rsidRDefault="00193403" w:rsidP="00530E7E">
      <w:pPr>
        <w:pStyle w:val="NoSpacing"/>
        <w:rPr>
          <w:rFonts w:cstheme="minorHAnsi"/>
        </w:rPr>
      </w:pPr>
      <w:r>
        <w:rPr>
          <w:rFonts w:cstheme="minorHAnsi"/>
        </w:rPr>
        <w:t xml:space="preserve">Where the employee’s relationship to the deceased is not covered in this act or the employee wishes to extend their period of Bereavement Leave, employees may request to take Unpaid Compassionate Leave or Annual Leave. This will be issued at the discretion of the </w:t>
      </w:r>
      <w:r w:rsidRPr="00193403">
        <w:rPr>
          <w:rFonts w:cstheme="minorHAnsi"/>
          <w:color w:val="FF0000"/>
        </w:rPr>
        <w:t>MD/GM/CEO/HR/LINE MANAGER</w:t>
      </w:r>
      <w:r>
        <w:rPr>
          <w:rFonts w:cstheme="minorHAnsi"/>
          <w:color w:val="FF0000"/>
        </w:rPr>
        <w:t>.</w:t>
      </w:r>
    </w:p>
    <w:p w14:paraId="2B66144D" w14:textId="77777777" w:rsidR="00193403" w:rsidRDefault="00193403" w:rsidP="00530E7E">
      <w:pPr>
        <w:pStyle w:val="NoSpacing"/>
        <w:rPr>
          <w:rFonts w:cstheme="minorHAnsi"/>
        </w:rPr>
      </w:pPr>
    </w:p>
    <w:p w14:paraId="6D98B0D2" w14:textId="37895A9D" w:rsidR="00530E7E" w:rsidRPr="00193403" w:rsidRDefault="00530E7E" w:rsidP="00530E7E">
      <w:pPr>
        <w:pStyle w:val="NoSpacing"/>
        <w:rPr>
          <w:rFonts w:cstheme="minorHAnsi"/>
        </w:rPr>
      </w:pPr>
      <w:r w:rsidRPr="00193403">
        <w:rPr>
          <w:rFonts w:cstheme="minorHAnsi"/>
        </w:rPr>
        <w:t>The above days must be taken consecutively.</w:t>
      </w:r>
    </w:p>
    <w:p w14:paraId="15C4674C" w14:textId="77777777" w:rsidR="00530E7E" w:rsidRPr="00193403" w:rsidRDefault="00530E7E" w:rsidP="00530E7E">
      <w:pPr>
        <w:pStyle w:val="NoSpacing"/>
        <w:rPr>
          <w:rFonts w:cstheme="minorHAnsi"/>
        </w:rPr>
      </w:pPr>
    </w:p>
    <w:p w14:paraId="2ABB7D97" w14:textId="150B9D8C" w:rsidR="00530E7E" w:rsidRPr="001F001F" w:rsidRDefault="00530E7E" w:rsidP="00530E7E">
      <w:pPr>
        <w:pStyle w:val="NoSpacing"/>
        <w:rPr>
          <w:rFonts w:cstheme="minorHAnsi"/>
          <w:b/>
        </w:rPr>
      </w:pPr>
      <w:r w:rsidRPr="001F001F">
        <w:rPr>
          <w:rFonts w:cstheme="minorHAnsi"/>
          <w:b/>
        </w:rPr>
        <w:t>Abuse of this Policy</w:t>
      </w:r>
    </w:p>
    <w:p w14:paraId="75CDDF6C" w14:textId="77777777" w:rsidR="00530E7E" w:rsidRPr="00193403" w:rsidRDefault="00530E7E" w:rsidP="00530E7E">
      <w:pPr>
        <w:pStyle w:val="NoSpacing"/>
        <w:rPr>
          <w:rFonts w:cstheme="minorHAnsi"/>
        </w:rPr>
      </w:pPr>
    </w:p>
    <w:p w14:paraId="2DC674E9" w14:textId="44D3AA8C" w:rsidR="00A476F9" w:rsidRPr="00193403" w:rsidRDefault="001F001F" w:rsidP="00530E7E">
      <w:pPr>
        <w:pStyle w:val="NoSpacing"/>
        <w:rPr>
          <w:rFonts w:cstheme="minorHAnsi"/>
        </w:rPr>
      </w:pPr>
      <w:r w:rsidRPr="00193403">
        <w:rPr>
          <w:rFonts w:cstheme="minorHAnsi"/>
        </w:rPr>
        <w:t>Any abuse</w:t>
      </w:r>
      <w:r w:rsidR="00530E7E" w:rsidRPr="00193403">
        <w:rPr>
          <w:rFonts w:cstheme="minorHAnsi"/>
        </w:rPr>
        <w:t xml:space="preserve">  in  the  application  of  this  policy  will  be  dealt  with  in  accordance  with the Company’s  Disciplinary  Policy  and  Procedure  and  may  result  in  disciplinary  action  being  taken,  up  to  and  including dismissal if proven to have occurred.</w:t>
      </w:r>
      <w:r w:rsidRPr="00193403">
        <w:rPr>
          <w:rFonts w:cstheme="minorHAnsi"/>
        </w:rPr>
        <w:t xml:space="preserve"> </w:t>
      </w:r>
      <w:bookmarkStart w:id="2" w:name="_GoBack"/>
      <w:bookmarkEnd w:id="2"/>
    </w:p>
    <w:sectPr w:rsidR="00A476F9" w:rsidRPr="00193403" w:rsidSect="006F5E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26C0" w14:textId="77777777" w:rsidR="00530E7E" w:rsidRDefault="00530E7E" w:rsidP="00530E7E">
      <w:pPr>
        <w:spacing w:after="0" w:line="240" w:lineRule="auto"/>
      </w:pPr>
      <w:r>
        <w:separator/>
      </w:r>
    </w:p>
  </w:endnote>
  <w:endnote w:type="continuationSeparator" w:id="0">
    <w:p w14:paraId="5F139AC6" w14:textId="77777777" w:rsidR="00530E7E" w:rsidRDefault="00530E7E" w:rsidP="0053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DCEE" w14:textId="77777777" w:rsidR="00530E7E" w:rsidRDefault="00530E7E" w:rsidP="00530E7E">
      <w:pPr>
        <w:spacing w:after="0" w:line="240" w:lineRule="auto"/>
      </w:pPr>
      <w:r>
        <w:separator/>
      </w:r>
    </w:p>
  </w:footnote>
  <w:footnote w:type="continuationSeparator" w:id="0">
    <w:p w14:paraId="7A8D50E6" w14:textId="77777777" w:rsidR="00530E7E" w:rsidRDefault="00530E7E" w:rsidP="0053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B5D9" w14:textId="77777777" w:rsidR="00530E7E" w:rsidRPr="00F055BC" w:rsidRDefault="00530E7E" w:rsidP="00530E7E">
    <w:bookmarkStart w:id="3" w:name="_Hlk8640282"/>
    <w:bookmarkStart w:id="4" w:name="_Hlk8640283"/>
    <w:bookmarkStart w:id="5" w:name="_Hlk8640301"/>
    <w:bookmarkStart w:id="6" w:name="_Hlk8640302"/>
    <w:bookmarkStart w:id="7" w:name="_Hlk8640315"/>
    <w:bookmarkStart w:id="8" w:name="_Hlk8640316"/>
    <w:bookmarkStart w:id="9" w:name="_Hlk8640324"/>
    <w:bookmarkStart w:id="10" w:name="_Hlk8640325"/>
    <w:bookmarkStart w:id="11" w:name="_Hlk8640334"/>
    <w:bookmarkStart w:id="12" w:name="_Hlk8640335"/>
    <w:bookmarkStart w:id="13" w:name="_Hlk8640343"/>
    <w:bookmarkStart w:id="14" w:name="_Hlk8640344"/>
    <w:bookmarkStart w:id="15" w:name="_Hlk8640352"/>
    <w:bookmarkStart w:id="16" w:name="_Hlk8640353"/>
    <w:bookmarkStart w:id="17" w:name="_Hlk8640375"/>
    <w:bookmarkStart w:id="18" w:name="_Hlk8640376"/>
    <w:bookmarkStart w:id="19" w:name="_Hlk8640420"/>
    <w:bookmarkStart w:id="20" w:name="_Hlk8640421"/>
    <w:bookmarkStart w:id="21" w:name="_Hlk8640432"/>
    <w:bookmarkStart w:id="22" w:name="_Hlk8640433"/>
    <w:bookmarkStart w:id="23" w:name="_Hlk8640440"/>
    <w:bookmarkStart w:id="24" w:name="_Hlk8640441"/>
    <w:bookmarkStart w:id="25" w:name="_Hlk8640468"/>
    <w:bookmarkStart w:id="26" w:name="_Hlk8640469"/>
    <w:bookmarkStart w:id="27" w:name="_Hlk8640470"/>
    <w:bookmarkStart w:id="28" w:name="_Hlk8640471"/>
    <w:bookmarkStart w:id="29" w:name="_Hlk8640497"/>
    <w:bookmarkStart w:id="30" w:name="_Hlk8640498"/>
    <w:bookmarkStart w:id="31" w:name="_Hlk8642958"/>
    <w:bookmarkStart w:id="32" w:name="_Hlk8642959"/>
    <w:bookmarkStart w:id="33" w:name="_Hlk8643056"/>
    <w:bookmarkStart w:id="34" w:name="_Hlk8643057"/>
    <w:bookmarkStart w:id="35" w:name="_Hlk8643070"/>
    <w:bookmarkStart w:id="36" w:name="_Hlk8643071"/>
    <w:bookmarkStart w:id="37" w:name="_Hlk8643096"/>
    <w:bookmarkStart w:id="38" w:name="_Hlk8643097"/>
    <w:bookmarkStart w:id="39" w:name="_Hlk8643660"/>
    <w:bookmarkStart w:id="40" w:name="_Hlk8643661"/>
    <w:bookmarkStart w:id="41" w:name="_Hlk8644029"/>
    <w:bookmarkStart w:id="42" w:name="_Hlk8644030"/>
    <w:bookmarkStart w:id="43" w:name="_Hlk8644042"/>
    <w:bookmarkStart w:id="44" w:name="_Hlk8644043"/>
    <w:bookmarkStart w:id="45" w:name="_Hlk8644228"/>
    <w:bookmarkStart w:id="46" w:name="_Hlk8644229"/>
    <w:bookmarkStart w:id="47" w:name="_Hlk8644240"/>
    <w:bookmarkStart w:id="48" w:name="_Hlk8644241"/>
    <w:bookmarkStart w:id="49" w:name="_Hlk8644242"/>
    <w:bookmarkStart w:id="50" w:name="_Hlk8644243"/>
    <w:bookmarkStart w:id="51" w:name="_Hlk8644264"/>
    <w:bookmarkStart w:id="52" w:name="_Hlk8644265"/>
    <w:bookmarkStart w:id="53" w:name="_Hlk8644268"/>
    <w:bookmarkStart w:id="54" w:name="_Hlk8644269"/>
    <w:bookmarkStart w:id="55" w:name="_Hlk8644270"/>
    <w:bookmarkStart w:id="56" w:name="_Hlk8644271"/>
    <w:bookmarkStart w:id="57" w:name="_Hlk8644272"/>
    <w:bookmarkStart w:id="58" w:name="_Hlk8644273"/>
    <w:bookmarkStart w:id="59" w:name="_Hlk8644274"/>
    <w:bookmarkStart w:id="60" w:name="_Hlk8644275"/>
    <w:bookmarkStart w:id="61" w:name="_Hlk8644276"/>
    <w:bookmarkStart w:id="62" w:name="_Hlk8644277"/>
    <w:bookmarkStart w:id="63" w:name="_Hlk8644278"/>
    <w:bookmarkStart w:id="64" w:name="_Hlk8644279"/>
    <w:bookmarkStart w:id="65" w:name="_Hlk8644280"/>
    <w:bookmarkStart w:id="66" w:name="_Hlk8644281"/>
    <w:bookmarkStart w:id="67" w:name="_Hlk8644301"/>
    <w:bookmarkStart w:id="68" w:name="_Hlk8644302"/>
    <w:bookmarkStart w:id="69" w:name="_Hlk8644304"/>
    <w:bookmarkStart w:id="70" w:name="_Hlk8644305"/>
    <w:bookmarkStart w:id="71" w:name="_Hlk8644306"/>
    <w:bookmarkStart w:id="72" w:name="_Hlk8644307"/>
    <w:bookmarkStart w:id="73" w:name="_Hlk8644310"/>
    <w:bookmarkStart w:id="74" w:name="_Hlk8644311"/>
    <w:bookmarkStart w:id="75" w:name="_Hlk8644323"/>
    <w:bookmarkStart w:id="76" w:name="_Hlk8644324"/>
    <w:bookmarkStart w:id="77" w:name="_Hlk8644347"/>
    <w:bookmarkStart w:id="78" w:name="_Hlk8644348"/>
    <w:bookmarkStart w:id="79" w:name="_Hlk8644349"/>
    <w:bookmarkStart w:id="80" w:name="_Hlk8644350"/>
    <w:bookmarkStart w:id="81" w:name="_Hlk8644367"/>
    <w:bookmarkStart w:id="82" w:name="_Hlk8644368"/>
    <w:bookmarkStart w:id="83" w:name="_Hlk8650807"/>
    <w:bookmarkStart w:id="84" w:name="_Hlk8650808"/>
    <w:bookmarkStart w:id="85" w:name="_Hlk8650812"/>
    <w:bookmarkStart w:id="86" w:name="_Hlk8650813"/>
    <w:bookmarkStart w:id="87" w:name="_Hlk8650815"/>
    <w:bookmarkStart w:id="88" w:name="_Hlk8650816"/>
    <w:bookmarkStart w:id="89" w:name="_Hlk8650845"/>
    <w:bookmarkStart w:id="90" w:name="_Hlk8650846"/>
    <w:bookmarkStart w:id="91" w:name="_Hlk8650847"/>
    <w:bookmarkStart w:id="92" w:name="_Hlk8650848"/>
    <w:bookmarkStart w:id="93" w:name="_Hlk8650849"/>
    <w:bookmarkStart w:id="94" w:name="_Hlk8650850"/>
    <w:bookmarkStart w:id="95" w:name="_Hlk8650856"/>
    <w:bookmarkStart w:id="96" w:name="_Hlk8650857"/>
    <w:bookmarkStart w:id="97" w:name="_Hlk8650867"/>
    <w:bookmarkStart w:id="98" w:name="_Hlk8650868"/>
    <w:bookmarkStart w:id="99" w:name="_Hlk8650886"/>
    <w:bookmarkStart w:id="100" w:name="_Hlk8650887"/>
    <w:bookmarkStart w:id="101" w:name="_Hlk8650897"/>
    <w:bookmarkStart w:id="102" w:name="_Hlk8650898"/>
    <w:bookmarkStart w:id="103" w:name="_Hlk8650905"/>
    <w:bookmarkStart w:id="104" w:name="_Hlk8650906"/>
    <w:bookmarkStart w:id="105" w:name="_Hlk8651491"/>
    <w:bookmarkStart w:id="106" w:name="_Hlk8651492"/>
    <w:r>
      <w:rPr>
        <w:noProof/>
        <w:lang w:eastAsia="en-IE"/>
      </w:rPr>
      <mc:AlternateContent>
        <mc:Choice Requires="wps">
          <w:drawing>
            <wp:anchor distT="0" distB="0" distL="114300" distR="114300" simplePos="0" relativeHeight="251659264" behindDoc="0" locked="0" layoutInCell="1" allowOverlap="1" wp14:anchorId="537A17F4" wp14:editId="0DF5C87B">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230A5B6" w14:textId="77777777" w:rsidR="00530E7E" w:rsidRPr="00685029" w:rsidRDefault="00530E7E" w:rsidP="00530E7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A17F4"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2230A5B6" w14:textId="77777777" w:rsidR="00530E7E" w:rsidRPr="00685029" w:rsidRDefault="00530E7E" w:rsidP="00530E7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918CC2F" wp14:editId="375DF513">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83A79D9" w14:textId="77777777" w:rsidR="00530E7E" w:rsidRDefault="0053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4A0"/>
    <w:multiLevelType w:val="hybridMultilevel"/>
    <w:tmpl w:val="A1CC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67F26"/>
    <w:multiLevelType w:val="hybridMultilevel"/>
    <w:tmpl w:val="605882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2BD3F57"/>
    <w:multiLevelType w:val="multilevel"/>
    <w:tmpl w:val="38CA00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34C62"/>
    <w:multiLevelType w:val="hybridMultilevel"/>
    <w:tmpl w:val="171498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6507C"/>
    <w:multiLevelType w:val="hybridMultilevel"/>
    <w:tmpl w:val="ECE833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5673980"/>
    <w:multiLevelType w:val="multilevel"/>
    <w:tmpl w:val="485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0"/>
  </w:num>
  <w:num w:numId="5">
    <w:abstractNumId w:val="1"/>
  </w:num>
  <w:num w:numId="6">
    <w:abstractNumId w:val="3"/>
  </w:num>
  <w:num w:numId="7">
    <w:abstractNumId w:val="7"/>
  </w:num>
  <w:num w:numId="8">
    <w:abstractNumId w:val="5"/>
  </w:num>
  <w:num w:numId="9">
    <w:abstractNumId w:val="8"/>
  </w:num>
  <w:num w:numId="10">
    <w:abstractNumId w:val="2"/>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53"/>
    <w:rsid w:val="001021A6"/>
    <w:rsid w:val="00193403"/>
    <w:rsid w:val="001B7398"/>
    <w:rsid w:val="001E6E51"/>
    <w:rsid w:val="001F001F"/>
    <w:rsid w:val="00281059"/>
    <w:rsid w:val="002D5245"/>
    <w:rsid w:val="003A303F"/>
    <w:rsid w:val="00476453"/>
    <w:rsid w:val="004A296C"/>
    <w:rsid w:val="00530E7E"/>
    <w:rsid w:val="00551872"/>
    <w:rsid w:val="006B774E"/>
    <w:rsid w:val="006F5E2D"/>
    <w:rsid w:val="00727A12"/>
    <w:rsid w:val="007958E2"/>
    <w:rsid w:val="008275F7"/>
    <w:rsid w:val="00863E04"/>
    <w:rsid w:val="008A01E2"/>
    <w:rsid w:val="008F2887"/>
    <w:rsid w:val="00A26878"/>
    <w:rsid w:val="00A37BB6"/>
    <w:rsid w:val="00A476F9"/>
    <w:rsid w:val="00A9331A"/>
    <w:rsid w:val="00C309E3"/>
    <w:rsid w:val="00C50ADC"/>
    <w:rsid w:val="00DC39E8"/>
    <w:rsid w:val="00E50642"/>
    <w:rsid w:val="00EE1753"/>
    <w:rsid w:val="00EE27B3"/>
    <w:rsid w:val="00FB6170"/>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DC5"/>
  <w15:docId w15:val="{ECC73463-5BF0-4EC3-9258-FEA15AB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2D"/>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61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76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character" w:customStyle="1" w:styleId="Heading2Char">
    <w:name w:val="Heading 2 Char"/>
    <w:basedOn w:val="DefaultParagraphFont"/>
    <w:link w:val="Heading2"/>
    <w:uiPriority w:val="9"/>
    <w:semiHidden/>
    <w:rsid w:val="00FB61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476F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7E"/>
  </w:style>
  <w:style w:type="paragraph" w:styleId="Footer">
    <w:name w:val="footer"/>
    <w:basedOn w:val="Normal"/>
    <w:link w:val="FooterChar"/>
    <w:uiPriority w:val="99"/>
    <w:unhideWhenUsed/>
    <w:rsid w:val="0053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4920">
      <w:bodyDiv w:val="1"/>
      <w:marLeft w:val="0"/>
      <w:marRight w:val="0"/>
      <w:marTop w:val="0"/>
      <w:marBottom w:val="0"/>
      <w:divBdr>
        <w:top w:val="none" w:sz="0" w:space="0" w:color="auto"/>
        <w:left w:val="none" w:sz="0" w:space="0" w:color="auto"/>
        <w:bottom w:val="none" w:sz="0" w:space="0" w:color="auto"/>
        <w:right w:val="none" w:sz="0" w:space="0" w:color="auto"/>
      </w:divBdr>
    </w:div>
    <w:div w:id="1031804715">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Gillings</dc:creator>
  <cp:keywords/>
  <dc:description/>
  <cp:lastModifiedBy>Mark O'Connor</cp:lastModifiedBy>
  <cp:revision>5</cp:revision>
  <cp:lastPrinted>2019-05-15T08:49:00Z</cp:lastPrinted>
  <dcterms:created xsi:type="dcterms:W3CDTF">2015-02-13T10:37:00Z</dcterms:created>
  <dcterms:modified xsi:type="dcterms:W3CDTF">2019-05-15T08:49:00Z</dcterms:modified>
</cp:coreProperties>
</file>